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3.45pt" o:ole="" fillcolor="window">
            <v:imagedata r:id="rId7" o:title="" gain="252062f" blacklevel="-18348f" grayscale="t"/>
          </v:shape>
          <o:OLEObject Type="Embed" ProgID="Word.Picture.8" ShapeID="_x0000_i1025" DrawAspect="Content" ObjectID="_1449053499" r:id="rId8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2A6775" w:rsidP="008435BF">
      <w:pPr>
        <w:tabs>
          <w:tab w:val="left" w:pos="7200"/>
        </w:tabs>
        <w:jc w:val="both"/>
      </w:pPr>
      <w:r>
        <w:t>09</w:t>
      </w:r>
      <w:r w:rsidR="008435BF">
        <w:t>.</w:t>
      </w:r>
      <w:r w:rsidR="00CE59C1">
        <w:t>0</w:t>
      </w:r>
      <w:r>
        <w:t>8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465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C76EE3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154E6E">
              <w:t>2</w:t>
            </w:r>
            <w:r w:rsidR="00C76EE3">
              <w:t>9</w:t>
            </w:r>
            <w:r>
              <w:t>.0</w:t>
            </w:r>
            <w:r w:rsidR="00C76EE3">
              <w:t>6</w:t>
            </w:r>
            <w:r>
              <w:t>.201</w:t>
            </w:r>
            <w:r w:rsidR="00C76EE3">
              <w:t>2</w:t>
            </w:r>
            <w:r>
              <w:t xml:space="preserve"> № </w:t>
            </w:r>
            <w:r w:rsidR="00C76EE3">
              <w:t>354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целей, не связанных со строительством»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C76EE3">
        <w:t>«Предоставление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целей, не связанных со строительством»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113CF1">
        <w:t xml:space="preserve">29.06.2012 № 354 </w:t>
      </w:r>
      <w:r>
        <w:t>(далее – Административный регламент), следующие изменения:</w:t>
      </w:r>
    </w:p>
    <w:p w:rsidR="00F63CBF" w:rsidRDefault="00F63CBF" w:rsidP="00F63CBF">
      <w:pPr>
        <w:ind w:firstLine="540"/>
        <w:jc w:val="both"/>
        <w:rPr>
          <w:rStyle w:val="TextNPA"/>
          <w:color w:val="000000"/>
          <w:sz w:val="24"/>
        </w:rPr>
      </w:pPr>
      <w:r w:rsidRPr="00B433E8">
        <w:t>1.</w:t>
      </w:r>
      <w:r>
        <w:t>1</w:t>
      </w:r>
      <w:r w:rsidRPr="00B433E8">
        <w:t>.</w:t>
      </w:r>
      <w:r w:rsidRPr="00B433E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433E8">
        <w:rPr>
          <w:color w:val="000000"/>
        </w:rPr>
        <w:t xml:space="preserve">Главу 4 </w:t>
      </w:r>
      <w:r>
        <w:rPr>
          <w:color w:val="000000"/>
        </w:rPr>
        <w:t>«</w:t>
      </w:r>
      <w:r>
        <w:rPr>
          <w:rStyle w:val="TextNPA"/>
          <w:color w:val="000000"/>
          <w:sz w:val="24"/>
        </w:rPr>
        <w:t>Перечень</w:t>
      </w:r>
      <w:r w:rsidRPr="00B433E8">
        <w:rPr>
          <w:rStyle w:val="TextNPA"/>
          <w:color w:val="000000"/>
          <w:sz w:val="24"/>
        </w:rPr>
        <w:t xml:space="preserve"> документов, необходимых для получения муниципальной услуги</w:t>
      </w:r>
      <w:r>
        <w:rPr>
          <w:rStyle w:val="TextNPA"/>
          <w:color w:val="000000"/>
          <w:sz w:val="24"/>
        </w:rPr>
        <w:t xml:space="preserve">» </w:t>
      </w:r>
      <w:r>
        <w:t xml:space="preserve"> </w:t>
      </w:r>
      <w:r w:rsidRPr="00B433E8">
        <w:rPr>
          <w:rStyle w:val="TextNPA"/>
          <w:color w:val="000000"/>
          <w:sz w:val="24"/>
        </w:rPr>
        <w:t xml:space="preserve"> изложить</w:t>
      </w:r>
      <w:r>
        <w:rPr>
          <w:rStyle w:val="TextNPA"/>
          <w:color w:val="000000"/>
          <w:sz w:val="24"/>
        </w:rPr>
        <w:t xml:space="preserve"> в следующей редакции:</w:t>
      </w:r>
    </w:p>
    <w:p w:rsidR="00F63CBF" w:rsidRDefault="00F63CBF" w:rsidP="00F63CBF">
      <w:pPr>
        <w:ind w:firstLine="540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« Глава 4. Перечень</w:t>
      </w:r>
      <w:r w:rsidRPr="00B433E8">
        <w:rPr>
          <w:rStyle w:val="TextNPA"/>
          <w:color w:val="000000"/>
          <w:sz w:val="24"/>
        </w:rPr>
        <w:t xml:space="preserve"> документов, необходимых для получения муниципальной услуги</w:t>
      </w:r>
      <w:r>
        <w:rPr>
          <w:rStyle w:val="TextNPA"/>
          <w:color w:val="000000"/>
          <w:sz w:val="24"/>
        </w:rPr>
        <w:t>.</w:t>
      </w:r>
    </w:p>
    <w:p w:rsidR="00F63CBF" w:rsidRDefault="00F63CBF" w:rsidP="00F63CBF">
      <w:pPr>
        <w:tabs>
          <w:tab w:val="left" w:pos="720"/>
        </w:tabs>
        <w:ind w:firstLine="720"/>
        <w:jc w:val="both"/>
      </w:pPr>
      <w:r w:rsidRPr="00B433E8">
        <w:rPr>
          <w:rStyle w:val="TextNPA"/>
          <w:bCs/>
          <w:color w:val="000000"/>
          <w:sz w:val="24"/>
        </w:rPr>
        <w:t xml:space="preserve">10. </w:t>
      </w:r>
      <w:r w:rsidRPr="00B433E8">
        <w:t xml:space="preserve">Для получения муниципальной услуги </w:t>
      </w:r>
      <w:r>
        <w:t xml:space="preserve">без проведения торгов </w:t>
      </w:r>
      <w:r w:rsidRPr="00B433E8">
        <w:t>заявители (их уполномоченные</w:t>
      </w:r>
      <w:r>
        <w:t xml:space="preserve"> представители)  должны предоставить:</w:t>
      </w:r>
    </w:p>
    <w:p w:rsidR="00F63CBF" w:rsidRDefault="00F63CBF" w:rsidP="00F63CBF">
      <w:pPr>
        <w:ind w:firstLine="540"/>
        <w:jc w:val="both"/>
      </w:pPr>
      <w:r>
        <w:t xml:space="preserve">а)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предоставить самостоятельно: </w:t>
      </w:r>
    </w:p>
    <w:p w:rsidR="00F63CBF" w:rsidRDefault="00F63CBF" w:rsidP="00F63CBF">
      <w:pPr>
        <w:ind w:firstLine="540"/>
        <w:jc w:val="both"/>
      </w:pPr>
      <w:r>
        <w:t>- заявление о предоставлении земельного участка по форме согласно приложению 3 к административному регламенту;</w:t>
      </w:r>
    </w:p>
    <w:p w:rsidR="00F63CBF" w:rsidRDefault="00F63CBF" w:rsidP="00F63CBF">
      <w:pPr>
        <w:ind w:firstLine="540"/>
        <w:jc w:val="both"/>
      </w:pPr>
      <w:r>
        <w:t>-  копию документа, удостоверяющего личность заявителя, являющегося физическим лицом, либо личность представителя физического или юридического  лица;</w:t>
      </w:r>
    </w:p>
    <w:p w:rsidR="00F63CBF" w:rsidRDefault="00F63CBF" w:rsidP="00F63CBF">
      <w:pPr>
        <w:ind w:firstLine="540"/>
        <w:jc w:val="both"/>
      </w:pPr>
      <w:r>
        <w:t>- копию документа, удостоверяющего права (полномочия) представителя физического  лица, если с заявлением обращается представитель заявителя;</w:t>
      </w:r>
    </w:p>
    <w:p w:rsidR="00F63CBF" w:rsidRDefault="00F63CBF" w:rsidP="00F63CBF">
      <w:pPr>
        <w:ind w:firstLine="540"/>
        <w:jc w:val="both"/>
      </w:pPr>
      <w:r>
        <w:lastRenderedPageBreak/>
        <w:t>б) документы, которые заявитель вправе предоставить по собственной инициатиые, так как они подлежат предоставлению в рамках межведомственного информационного взаимодействия:</w:t>
      </w:r>
    </w:p>
    <w:p w:rsidR="00F63CBF" w:rsidRDefault="00F63CBF" w:rsidP="00F63CBF">
      <w:pPr>
        <w:ind w:firstLine="540"/>
        <w:jc w:val="both"/>
      </w:pPr>
      <w:r>
        <w:t>- 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выписку из единого государственного реестра в отношении юридического лица или индивидуального предпринимателя, являющегося заявителем, ходатайствующим о приобретении прав на земельный участок;</w:t>
      </w:r>
    </w:p>
    <w:p w:rsidR="00F63CBF" w:rsidRDefault="00F63CBF" w:rsidP="00F63CBF">
      <w:pPr>
        <w:ind w:firstLine="540"/>
        <w:jc w:val="both"/>
      </w:pPr>
      <w:r>
        <w:t xml:space="preserve">- кадастровый паспорт земельного участка; </w:t>
      </w:r>
    </w:p>
    <w:p w:rsidR="00F63CBF" w:rsidRDefault="00F63CBF" w:rsidP="00F63CBF">
      <w:pPr>
        <w:tabs>
          <w:tab w:val="left" w:pos="720"/>
        </w:tabs>
        <w:ind w:firstLine="720"/>
        <w:jc w:val="both"/>
      </w:pPr>
      <w:r>
        <w:t xml:space="preserve">10.1. Для участия в аукционе заявители </w:t>
      </w:r>
      <w:r w:rsidRPr="00B433E8">
        <w:t>(их уполномоченные</w:t>
      </w:r>
      <w:r>
        <w:t xml:space="preserve"> представители)  должны предоставить:</w:t>
      </w:r>
    </w:p>
    <w:p w:rsidR="00F63CBF" w:rsidRDefault="00F63CBF" w:rsidP="00F63CBF">
      <w:pPr>
        <w:ind w:firstLine="540"/>
        <w:jc w:val="both"/>
      </w:pPr>
      <w:r>
        <w:t xml:space="preserve">а)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предоставить самостоятельно: </w:t>
      </w:r>
    </w:p>
    <w:p w:rsidR="00F63CBF" w:rsidRDefault="00F63CBF" w:rsidP="00F63CBF">
      <w:pPr>
        <w:ind w:firstLine="540"/>
        <w:jc w:val="both"/>
      </w:pPr>
      <w:r>
        <w:t>- заявку на участие в аукционе по форме согласно приложению 4 к административному регламенту в 2-х экземплярах;</w:t>
      </w:r>
    </w:p>
    <w:p w:rsidR="00F63CBF" w:rsidRDefault="00F63CBF" w:rsidP="00F63CBF">
      <w:pPr>
        <w:ind w:firstLine="540"/>
        <w:jc w:val="both"/>
      </w:pPr>
      <w:r>
        <w:t>-  копию документа, удостоверяющего личность заявителя, являющегося физическим лицом, в случае подачи заявки представителем претендента предъявляется доверенность;</w:t>
      </w:r>
    </w:p>
    <w:p w:rsidR="00F63CBF" w:rsidRDefault="00F63CBF" w:rsidP="00F63CBF">
      <w:pPr>
        <w:ind w:firstLine="540"/>
        <w:jc w:val="both"/>
      </w:pPr>
      <w:r>
        <w:t>-  платежный документ с отметкой банка об исполнении, подтверждающий внесение задатка для участия в аукционе;</w:t>
      </w:r>
    </w:p>
    <w:p w:rsidR="00F63CBF" w:rsidRDefault="00F63CBF" w:rsidP="00F63CBF">
      <w:pPr>
        <w:ind w:firstLine="540"/>
        <w:jc w:val="both"/>
      </w:pPr>
      <w:r>
        <w:t>-  нотариально заверенные копии учредительных документов (для юридических лиц);</w:t>
      </w:r>
    </w:p>
    <w:p w:rsidR="00F63CBF" w:rsidRDefault="00F63CBF" w:rsidP="00F63CBF">
      <w:pPr>
        <w:ind w:firstLine="540"/>
        <w:jc w:val="both"/>
      </w:pPr>
      <w:r>
        <w:t>-  выписку из решения уполномоченного органа юридического лица о совершении сделки (если это необходимо в соответствии с учредительными документами  и законодательством государства, в котором зарегистрирован претендент).</w:t>
      </w:r>
    </w:p>
    <w:p w:rsidR="00F63CBF" w:rsidRDefault="00F63CBF" w:rsidP="00F63CBF">
      <w:pPr>
        <w:ind w:firstLine="540"/>
        <w:jc w:val="both"/>
      </w:pPr>
      <w:r>
        <w:t>10.2. Должностное лицо, ответственное за предоставление муниципальной услуги, не вправе требовать от заявителя:</w:t>
      </w:r>
    </w:p>
    <w:p w:rsidR="00F63CBF" w:rsidRDefault="00F63CBF" w:rsidP="00F63CBF">
      <w:pPr>
        <w:ind w:firstLine="540"/>
        <w:jc w:val="both"/>
      </w:pPr>
      <w:r>
        <w:t>- предоставления документов и информации или осуществления действий, предоставление или 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3CBF" w:rsidRDefault="00F63CBF" w:rsidP="00F63CBF">
      <w:pPr>
        <w:ind w:firstLine="540"/>
        <w:jc w:val="both"/>
      </w:pPr>
      <w:r>
        <w:t>- предоставления документов и информации, которые находятся в в распоряжении Комитета,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210-ФЗ.»</w:t>
      </w:r>
    </w:p>
    <w:p w:rsidR="00240E3E" w:rsidRDefault="00240E3E" w:rsidP="00040DCE">
      <w:pPr>
        <w:ind w:right="-108" w:firstLine="426"/>
        <w:jc w:val="both"/>
      </w:pPr>
    </w:p>
    <w:p w:rsidR="00EB606D" w:rsidRDefault="005109EF" w:rsidP="00C14F4D">
      <w:pPr>
        <w:ind w:firstLine="720"/>
        <w:jc w:val="both"/>
      </w:pPr>
      <w:r>
        <w:t>1.</w:t>
      </w:r>
      <w:r w:rsidR="00F63CBF">
        <w:t>2</w:t>
      </w:r>
      <w:r>
        <w:t xml:space="preserve">. Раздел V. </w:t>
      </w:r>
      <w:r w:rsidR="004C55C4">
        <w:t>«</w:t>
      </w:r>
      <w:r w:rsidR="004C55C4" w:rsidRPr="004C55C4">
        <w:t>Досудебный (внесудебный) порядок обжалования решений и действий (бездействия) комитета по управлению имуществом и земельными ресурсами Весьегонского района, а также должностных лиц, муниципальных служащих</w:t>
      </w:r>
      <w:r w:rsidR="004C55C4">
        <w:t>»</w:t>
      </w:r>
      <w:r>
        <w:t xml:space="preserve"> 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113CF1">
      <w:pPr>
        <w:spacing w:line="100" w:lineRule="atLeast"/>
        <w:ind w:firstLine="709"/>
        <w:jc w:val="both"/>
      </w:pPr>
      <w:r>
        <w:t>1</w:t>
      </w:r>
      <w:r w:rsidR="00113CF1">
        <w:t>43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113CF1">
        <w:t>44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lastRenderedPageBreak/>
        <w:t>1</w:t>
      </w:r>
      <w:r w:rsidR="00113CF1">
        <w:t>45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963640" w:rsidP="00113CF1">
      <w:pPr>
        <w:shd w:val="clear" w:color="auto" w:fill="FFFFFF"/>
        <w:ind w:firstLine="709"/>
        <w:jc w:val="both"/>
      </w:pPr>
      <w:r>
        <w:t>14</w:t>
      </w:r>
      <w:r w:rsidR="00113CF1">
        <w:t>6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963640" w:rsidP="00113CF1">
      <w:pPr>
        <w:shd w:val="clear" w:color="auto" w:fill="FFFFFF"/>
        <w:ind w:firstLine="709"/>
        <w:jc w:val="both"/>
      </w:pPr>
      <w:r>
        <w:t>1</w:t>
      </w:r>
      <w:r w:rsidR="00113CF1">
        <w:t>47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963640" w:rsidP="00113CF1">
      <w:pPr>
        <w:shd w:val="clear" w:color="auto" w:fill="FFFFFF"/>
        <w:ind w:firstLine="709"/>
        <w:jc w:val="both"/>
      </w:pPr>
      <w:r>
        <w:t>1</w:t>
      </w:r>
      <w:r w:rsidR="00113CF1">
        <w:t>48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765CF" w:rsidRDefault="00AE1A26" w:rsidP="00113CF1">
      <w:pPr>
        <w:shd w:val="clear" w:color="auto" w:fill="FFFFFF"/>
        <w:ind w:firstLine="709"/>
        <w:jc w:val="both"/>
      </w:pPr>
      <w:r>
        <w:t>1</w:t>
      </w:r>
      <w:r w:rsidR="00113CF1">
        <w:t>49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</w:t>
      </w:r>
      <w:r w:rsidR="004120A5" w:rsidRPr="00B6206E">
        <w:lastRenderedPageBreak/>
        <w:t xml:space="preserve">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 xml:space="preserve">либо в исправлении допущенных опечаток и ошибок или в случае обжалования нарушения </w:t>
      </w:r>
    </w:p>
    <w:p w:rsidR="00B765CF" w:rsidRDefault="00B765CF" w:rsidP="00113CF1">
      <w:pPr>
        <w:shd w:val="clear" w:color="auto" w:fill="FFFFFF"/>
        <w:ind w:firstLine="709"/>
        <w:jc w:val="both"/>
      </w:pPr>
    </w:p>
    <w:p w:rsidR="004120A5" w:rsidRPr="00B6206E" w:rsidRDefault="004120A5" w:rsidP="00B765CF">
      <w:pPr>
        <w:shd w:val="clear" w:color="auto" w:fill="FFFFFF"/>
        <w:jc w:val="both"/>
      </w:pPr>
      <w:r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113CF1">
        <w:t>50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113CF1">
        <w:t>51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113CF1">
        <w:t>5</w:t>
      </w:r>
      <w:r w:rsidR="00E86522">
        <w:t>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963640" w:rsidP="004120A5">
      <w:pPr>
        <w:ind w:firstLine="720"/>
        <w:jc w:val="both"/>
      </w:pPr>
      <w:r>
        <w:t>1</w:t>
      </w:r>
      <w:r w:rsidR="00113CF1">
        <w:t>52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B765CF" w:rsidRDefault="00F212DC" w:rsidP="00F63CBF">
      <w:pPr>
        <w:ind w:firstLine="540"/>
        <w:jc w:val="both"/>
      </w:pPr>
      <w:r>
        <w:t xml:space="preserve">           </w:t>
      </w:r>
    </w:p>
    <w:p w:rsidR="008F25AE" w:rsidRDefault="008F25AE" w:rsidP="008F25AE">
      <w:pPr>
        <w:tabs>
          <w:tab w:val="left" w:pos="1260"/>
        </w:tabs>
        <w:ind w:firstLine="539"/>
        <w:jc w:val="both"/>
      </w:pPr>
      <w:r>
        <w:t>1.3</w:t>
      </w:r>
      <w:r w:rsidR="00EB0569">
        <w:t xml:space="preserve">. </w:t>
      </w:r>
      <w:r>
        <w:t>Приложение 5 к административному регламенту</w:t>
      </w:r>
      <w:r w:rsidR="00A7670B">
        <w:t xml:space="preserve"> «Памятка с перечнем документов, необходимых для получения муниципальной услуги» </w:t>
      </w:r>
      <w:r>
        <w:t xml:space="preserve"> изложить в следующей редакции:</w:t>
      </w:r>
    </w:p>
    <w:p w:rsidR="008F25AE" w:rsidRDefault="008F25AE" w:rsidP="008F25AE">
      <w:pPr>
        <w:tabs>
          <w:tab w:val="left" w:pos="1172"/>
        </w:tabs>
        <w:ind w:firstLine="709"/>
        <w:jc w:val="both"/>
      </w:pPr>
    </w:p>
    <w:p w:rsidR="008F25AE" w:rsidRDefault="008F25AE" w:rsidP="008F25AE">
      <w:pPr>
        <w:tabs>
          <w:tab w:val="left" w:pos="1172"/>
        </w:tabs>
        <w:jc w:val="right"/>
      </w:pPr>
      <w:r>
        <w:t>«Приложение 5</w:t>
      </w:r>
    </w:p>
    <w:p w:rsidR="008F25AE" w:rsidRDefault="008F25AE" w:rsidP="008F25AE">
      <w:pPr>
        <w:tabs>
          <w:tab w:val="left" w:pos="1260"/>
        </w:tabs>
        <w:ind w:firstLine="539"/>
        <w:jc w:val="right"/>
      </w:pPr>
      <w:r>
        <w:t>к административному регламенту</w:t>
      </w:r>
    </w:p>
    <w:p w:rsidR="008F25AE" w:rsidRDefault="008F25AE" w:rsidP="008F25AE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>
        <w:t>предоставления муниципальной услуги</w:t>
      </w:r>
    </w:p>
    <w:p w:rsidR="008F25AE" w:rsidRDefault="008F25AE" w:rsidP="008F25AE">
      <w:pPr>
        <w:pStyle w:val="ConsPlusNonformat"/>
        <w:jc w:val="right"/>
        <w:rPr>
          <w:szCs w:val="24"/>
        </w:rPr>
      </w:pPr>
      <w:r>
        <w:rPr>
          <w:szCs w:val="24"/>
        </w:rPr>
        <w:t>«</w:t>
      </w:r>
      <w:r w:rsidRPr="003450BB">
        <w:rPr>
          <w:szCs w:val="24"/>
        </w:rPr>
        <w:t xml:space="preserve">Предоставление земельных  участков, находящихся в </w:t>
      </w:r>
    </w:p>
    <w:p w:rsidR="008F25AE" w:rsidRDefault="008F25AE" w:rsidP="008F25AE">
      <w:pPr>
        <w:pStyle w:val="ConsPlusNonformat"/>
        <w:jc w:val="right"/>
        <w:rPr>
          <w:szCs w:val="24"/>
        </w:rPr>
      </w:pPr>
      <w:r w:rsidRPr="003450BB">
        <w:rPr>
          <w:szCs w:val="24"/>
        </w:rPr>
        <w:t xml:space="preserve">собственности муниципального образования и государственная </w:t>
      </w:r>
    </w:p>
    <w:p w:rsidR="008F25AE" w:rsidRDefault="008F25AE" w:rsidP="008F25AE">
      <w:pPr>
        <w:pStyle w:val="ConsPlusNonformat"/>
        <w:jc w:val="right"/>
        <w:rPr>
          <w:szCs w:val="24"/>
        </w:rPr>
      </w:pPr>
      <w:r w:rsidRPr="003450BB">
        <w:rPr>
          <w:szCs w:val="24"/>
        </w:rPr>
        <w:t xml:space="preserve">собственность на которые не разграничена, для целей, </w:t>
      </w:r>
    </w:p>
    <w:p w:rsidR="008F25AE" w:rsidRDefault="008F25AE" w:rsidP="008F25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50BB">
        <w:rPr>
          <w:szCs w:val="24"/>
        </w:rPr>
        <w:t>не связанных со строительством</w:t>
      </w:r>
      <w:r>
        <w:rPr>
          <w:szCs w:val="24"/>
        </w:rPr>
        <w:t>»</w:t>
      </w:r>
    </w:p>
    <w:p w:rsidR="008F25AE" w:rsidRPr="006B668D" w:rsidRDefault="008F25AE" w:rsidP="008F25AE">
      <w:pPr>
        <w:pStyle w:val="a6"/>
        <w:tabs>
          <w:tab w:val="left" w:pos="1080"/>
        </w:tabs>
      </w:pPr>
      <w:r w:rsidRPr="006B668D">
        <w:t>Памятка</w:t>
      </w:r>
    </w:p>
    <w:p w:rsidR="008F25AE" w:rsidRDefault="008F25AE" w:rsidP="008F25AE">
      <w:pPr>
        <w:jc w:val="center"/>
      </w:pPr>
      <w:r w:rsidRPr="006B668D">
        <w:t>с перечнем документов, необходимых для получения муниципальной услуги</w:t>
      </w:r>
    </w:p>
    <w:p w:rsidR="008F25AE" w:rsidRDefault="008F25AE" w:rsidP="008F25AE">
      <w:pPr>
        <w:tabs>
          <w:tab w:val="left" w:pos="1172"/>
        </w:tabs>
        <w:jc w:val="right"/>
      </w:pPr>
    </w:p>
    <w:p w:rsidR="00BD06C5" w:rsidRDefault="00BD06C5" w:rsidP="00BD06C5">
      <w:pPr>
        <w:tabs>
          <w:tab w:val="left" w:pos="720"/>
        </w:tabs>
        <w:ind w:firstLine="720"/>
        <w:jc w:val="both"/>
      </w:pPr>
      <w:r w:rsidRPr="00B433E8">
        <w:rPr>
          <w:rStyle w:val="TextNPA"/>
          <w:bCs/>
          <w:color w:val="000000"/>
          <w:sz w:val="24"/>
        </w:rPr>
        <w:t xml:space="preserve"> </w:t>
      </w:r>
      <w:r w:rsidRPr="00B433E8">
        <w:t xml:space="preserve">Для получения муниципальной услуги </w:t>
      </w:r>
      <w:r>
        <w:t xml:space="preserve">без проведения торгов </w:t>
      </w:r>
      <w:r w:rsidRPr="00B433E8">
        <w:t>заявители (их уполномоченные</w:t>
      </w:r>
      <w:r>
        <w:t xml:space="preserve"> представители)  должны предоставить:</w:t>
      </w:r>
    </w:p>
    <w:p w:rsidR="00BD06C5" w:rsidRDefault="00BD06C5" w:rsidP="00BD06C5">
      <w:pPr>
        <w:ind w:firstLine="540"/>
        <w:jc w:val="both"/>
      </w:pPr>
      <w:r>
        <w:t xml:space="preserve">а)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предоставить самостоятельно: </w:t>
      </w:r>
    </w:p>
    <w:p w:rsidR="00BD06C5" w:rsidRDefault="00BD06C5" w:rsidP="00BD06C5">
      <w:pPr>
        <w:ind w:firstLine="540"/>
        <w:jc w:val="both"/>
      </w:pPr>
      <w:r>
        <w:t>- заявление о предоставлении земельного участка по форме согласно приложению 3 к административному регламенту;</w:t>
      </w:r>
    </w:p>
    <w:p w:rsidR="00BD06C5" w:rsidRDefault="00BD06C5" w:rsidP="00BD06C5">
      <w:pPr>
        <w:ind w:firstLine="540"/>
        <w:jc w:val="both"/>
      </w:pPr>
      <w:r>
        <w:t>-  копию документа, удостоверяющего личность заявителя, являющегося физическим лицом, либо личность представителя физического или юридического  лица;</w:t>
      </w:r>
    </w:p>
    <w:p w:rsidR="00BD06C5" w:rsidRDefault="00BD06C5" w:rsidP="00BD06C5">
      <w:pPr>
        <w:ind w:firstLine="540"/>
        <w:jc w:val="both"/>
      </w:pPr>
      <w:r>
        <w:t>- копию документа, удостоверяющего права (полномочия) представителя физического  лица, если с заявлением обращается представитель заявителя;</w:t>
      </w:r>
    </w:p>
    <w:p w:rsidR="00BD06C5" w:rsidRDefault="00BD06C5" w:rsidP="00BD06C5">
      <w:pPr>
        <w:ind w:firstLine="540"/>
        <w:jc w:val="both"/>
      </w:pPr>
      <w:r>
        <w:t>б) документы, которые заявитель вправе предоставить по собственной инициатиые, так как они подлежат предоставлению в рамках межведомственного информационного взаимодействия:</w:t>
      </w:r>
    </w:p>
    <w:p w:rsidR="00BD06C5" w:rsidRDefault="00BD06C5" w:rsidP="00BD06C5">
      <w:pPr>
        <w:ind w:firstLine="540"/>
        <w:jc w:val="both"/>
      </w:pPr>
      <w:r>
        <w:t>- 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выписку из единого государственного реестра в отношении юридического лица или индивидуального предпринимателя, являющегося заявителем, ходатайствующим о приобретении прав на земельный участок;</w:t>
      </w:r>
    </w:p>
    <w:p w:rsidR="00BD06C5" w:rsidRDefault="00BD06C5" w:rsidP="00BD06C5">
      <w:pPr>
        <w:ind w:firstLine="540"/>
        <w:jc w:val="both"/>
      </w:pPr>
      <w:r>
        <w:lastRenderedPageBreak/>
        <w:t xml:space="preserve">- кадастровый паспорт земельного участка; </w:t>
      </w:r>
    </w:p>
    <w:p w:rsidR="00BD06C5" w:rsidRDefault="00BD06C5" w:rsidP="00BD06C5">
      <w:pPr>
        <w:tabs>
          <w:tab w:val="left" w:pos="720"/>
        </w:tabs>
        <w:ind w:firstLine="720"/>
        <w:jc w:val="both"/>
      </w:pPr>
      <w:r>
        <w:t xml:space="preserve"> Для участия в аукционе заявители </w:t>
      </w:r>
      <w:r w:rsidRPr="00B433E8">
        <w:t>(их уполномоченные</w:t>
      </w:r>
      <w:r>
        <w:t xml:space="preserve"> представители)  должны предоставить:</w:t>
      </w:r>
    </w:p>
    <w:p w:rsidR="00F63CBF" w:rsidRDefault="00F63CBF" w:rsidP="00F63CBF">
      <w:pPr>
        <w:ind w:firstLine="540"/>
        <w:jc w:val="both"/>
      </w:pPr>
      <w:r>
        <w:t xml:space="preserve">а)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предоставить самостоятельно: </w:t>
      </w:r>
    </w:p>
    <w:p w:rsidR="00BD06C5" w:rsidRDefault="00BD06C5" w:rsidP="00BD06C5">
      <w:pPr>
        <w:ind w:firstLine="540"/>
        <w:jc w:val="both"/>
      </w:pPr>
      <w:r>
        <w:t>- заявку на участие в аукционе по форме согласно приложению 4 к административному регламенту в 2-х экземплярах;</w:t>
      </w:r>
    </w:p>
    <w:p w:rsidR="00BD06C5" w:rsidRDefault="00BD06C5" w:rsidP="00BD06C5">
      <w:pPr>
        <w:ind w:firstLine="540"/>
        <w:jc w:val="both"/>
      </w:pPr>
      <w:r>
        <w:t>-  копию документа, удостоверяющего личность заявителя, являющегося физическим лицом, в случае подачи заявки представителем претендента предъявляется доверенность;</w:t>
      </w:r>
    </w:p>
    <w:p w:rsidR="00BD06C5" w:rsidRDefault="00BD06C5" w:rsidP="00BD06C5">
      <w:pPr>
        <w:ind w:firstLine="540"/>
        <w:jc w:val="both"/>
      </w:pPr>
      <w:r>
        <w:t>-  платежный документ с отметкой банка об исполнении, подтверждающий внесение задатка для участия в аукционе;</w:t>
      </w:r>
    </w:p>
    <w:p w:rsidR="00BD06C5" w:rsidRDefault="00BD06C5" w:rsidP="00BD06C5">
      <w:pPr>
        <w:ind w:firstLine="540"/>
        <w:jc w:val="both"/>
      </w:pPr>
      <w:r>
        <w:t>-  нотариально заверенные копии учредительных документов (для юридических лиц);</w:t>
      </w:r>
    </w:p>
    <w:p w:rsidR="00BD06C5" w:rsidRDefault="00BD06C5" w:rsidP="00BD06C5">
      <w:pPr>
        <w:ind w:firstLine="540"/>
        <w:jc w:val="both"/>
      </w:pPr>
      <w:r>
        <w:t>-  выписку из решения уполномоченного органа юридического лица о совершении сделки (если это необходимо в соответствии с учредительными документами  и законодательством государства, в котором зарегистрирован претендент).»</w:t>
      </w:r>
    </w:p>
    <w:p w:rsidR="008F25AE" w:rsidRDefault="008F25AE" w:rsidP="008F25AE">
      <w:pPr>
        <w:tabs>
          <w:tab w:val="left" w:pos="1172"/>
        </w:tabs>
        <w:jc w:val="right"/>
      </w:pP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 xml:space="preserve">Разместить </w:t>
      </w:r>
      <w:r w:rsidR="00040DCE">
        <w:t>настоящее постановление</w:t>
      </w:r>
      <w:r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>первого заместителя главы администрации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B85EC6" w:rsidP="000147EF">
      <w:pPr>
        <w:tabs>
          <w:tab w:val="left" w:pos="6348"/>
        </w:tabs>
        <w:ind w:firstLine="720"/>
        <w:jc w:val="both"/>
      </w:pPr>
      <w:r>
        <w:t>И.о.г</w:t>
      </w:r>
      <w:r w:rsidR="008435BF" w:rsidRPr="00395845">
        <w:t>лав</w:t>
      </w:r>
      <w:r>
        <w:t>ы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А.А.Ермошин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43" w:rsidRDefault="00D40B43">
      <w:r>
        <w:separator/>
      </w:r>
    </w:p>
  </w:endnote>
  <w:endnote w:type="continuationSeparator" w:id="1">
    <w:p w:rsidR="00D40B43" w:rsidRDefault="00D4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43" w:rsidRDefault="00D40B43">
      <w:r>
        <w:separator/>
      </w:r>
    </w:p>
  </w:footnote>
  <w:footnote w:type="continuationSeparator" w:id="1">
    <w:p w:rsidR="00D40B43" w:rsidRDefault="00D4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6006"/>
    <w:rsid w:val="00091542"/>
    <w:rsid w:val="000C7C7F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52CA4"/>
    <w:rsid w:val="00154E6E"/>
    <w:rsid w:val="001558BB"/>
    <w:rsid w:val="00166C7A"/>
    <w:rsid w:val="00175F6F"/>
    <w:rsid w:val="0018309D"/>
    <w:rsid w:val="00190452"/>
    <w:rsid w:val="001A0E7B"/>
    <w:rsid w:val="001B74FF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5EA4"/>
    <w:rsid w:val="002635B4"/>
    <w:rsid w:val="00275A63"/>
    <w:rsid w:val="002808E4"/>
    <w:rsid w:val="00284142"/>
    <w:rsid w:val="00286B87"/>
    <w:rsid w:val="0029311F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30074"/>
    <w:rsid w:val="0033185B"/>
    <w:rsid w:val="00337825"/>
    <w:rsid w:val="00356806"/>
    <w:rsid w:val="003601E3"/>
    <w:rsid w:val="00367274"/>
    <w:rsid w:val="00372694"/>
    <w:rsid w:val="00377AA5"/>
    <w:rsid w:val="003809D3"/>
    <w:rsid w:val="0038122C"/>
    <w:rsid w:val="00381C7E"/>
    <w:rsid w:val="00391ADA"/>
    <w:rsid w:val="0039377D"/>
    <w:rsid w:val="00395DEB"/>
    <w:rsid w:val="00396021"/>
    <w:rsid w:val="003962AE"/>
    <w:rsid w:val="003B4427"/>
    <w:rsid w:val="003C05C2"/>
    <w:rsid w:val="003D6D7A"/>
    <w:rsid w:val="003F42DE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C55C4"/>
    <w:rsid w:val="004D401B"/>
    <w:rsid w:val="004E4360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87835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6AAB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C33C9"/>
    <w:rsid w:val="006D73FA"/>
    <w:rsid w:val="0070314E"/>
    <w:rsid w:val="0070488E"/>
    <w:rsid w:val="00707691"/>
    <w:rsid w:val="007415F4"/>
    <w:rsid w:val="00741F97"/>
    <w:rsid w:val="007501B3"/>
    <w:rsid w:val="0075385C"/>
    <w:rsid w:val="00782930"/>
    <w:rsid w:val="00787B54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8F25A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80BF8"/>
    <w:rsid w:val="009864D7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419E1"/>
    <w:rsid w:val="00A55D7C"/>
    <w:rsid w:val="00A60CB0"/>
    <w:rsid w:val="00A65AFF"/>
    <w:rsid w:val="00A7670B"/>
    <w:rsid w:val="00A7693D"/>
    <w:rsid w:val="00A95C14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33C39"/>
    <w:rsid w:val="00B430E1"/>
    <w:rsid w:val="00B433E8"/>
    <w:rsid w:val="00B50F26"/>
    <w:rsid w:val="00B5523A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80F"/>
    <w:rsid w:val="00BD7EE7"/>
    <w:rsid w:val="00BE746E"/>
    <w:rsid w:val="00C04608"/>
    <w:rsid w:val="00C14F4D"/>
    <w:rsid w:val="00C170DA"/>
    <w:rsid w:val="00C2071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325A"/>
    <w:rsid w:val="00C97A85"/>
    <w:rsid w:val="00CA072B"/>
    <w:rsid w:val="00CA7941"/>
    <w:rsid w:val="00CA7B32"/>
    <w:rsid w:val="00CB752D"/>
    <w:rsid w:val="00CD7830"/>
    <w:rsid w:val="00CE3EE5"/>
    <w:rsid w:val="00CE4532"/>
    <w:rsid w:val="00CE47BE"/>
    <w:rsid w:val="00CE59C1"/>
    <w:rsid w:val="00D004CD"/>
    <w:rsid w:val="00D31A1E"/>
    <w:rsid w:val="00D40B43"/>
    <w:rsid w:val="00D61FD7"/>
    <w:rsid w:val="00D7437A"/>
    <w:rsid w:val="00D75059"/>
    <w:rsid w:val="00D77DC0"/>
    <w:rsid w:val="00D84952"/>
    <w:rsid w:val="00DD25A0"/>
    <w:rsid w:val="00DE58FF"/>
    <w:rsid w:val="00DF529C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86522"/>
    <w:rsid w:val="00E90729"/>
    <w:rsid w:val="00EA7447"/>
    <w:rsid w:val="00EB0569"/>
    <w:rsid w:val="00EB3CA2"/>
    <w:rsid w:val="00EB606D"/>
    <w:rsid w:val="00EC2443"/>
    <w:rsid w:val="00ED4A25"/>
    <w:rsid w:val="00F110CD"/>
    <w:rsid w:val="00F13516"/>
    <w:rsid w:val="00F212DC"/>
    <w:rsid w:val="00F36FFD"/>
    <w:rsid w:val="00F47C5A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2013-08-09T07:01:00Z</cp:lastPrinted>
  <dcterms:created xsi:type="dcterms:W3CDTF">2013-08-09T07:01:00Z</dcterms:created>
  <dcterms:modified xsi:type="dcterms:W3CDTF">2013-12-20T11:05:00Z</dcterms:modified>
</cp:coreProperties>
</file>