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09241156" r:id="rId6"/>
        </w:object>
      </w:r>
    </w:p>
    <w:p w:rsidR="00F95758" w:rsidRPr="004D3B4C" w:rsidRDefault="00F95758" w:rsidP="008E0C3F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4D3B4C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4D3B4C">
        <w:rPr>
          <w:rFonts w:ascii="Times New Roman" w:hAnsi="Times New Roman" w:cs="Times New Roman"/>
        </w:rPr>
        <w:t>ТВЕРСКОЙ  ОБЛАСТИ</w:t>
      </w:r>
    </w:p>
    <w:p w:rsidR="00A66470" w:rsidRPr="004D3B4C" w:rsidRDefault="00A66470" w:rsidP="004D3B4C">
      <w:pPr>
        <w:spacing w:after="0"/>
        <w:rPr>
          <w:sz w:val="24"/>
          <w:szCs w:val="24"/>
        </w:rPr>
      </w:pPr>
    </w:p>
    <w:p w:rsidR="00F95758" w:rsidRPr="00B242CA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2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О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С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Т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А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Н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О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В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Л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Е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Н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И</w:t>
      </w:r>
      <w:r w:rsidR="00B2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Default="00B242CA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F7613" w:rsidRPr="004D3B4C">
        <w:rPr>
          <w:rFonts w:ascii="Times New Roman" w:hAnsi="Times New Roman" w:cs="Times New Roman"/>
          <w:sz w:val="24"/>
          <w:szCs w:val="24"/>
        </w:rPr>
        <w:t>.</w:t>
      </w:r>
      <w:r w:rsidR="00767078" w:rsidRPr="004D3B4C">
        <w:rPr>
          <w:rFonts w:ascii="Times New Roman" w:hAnsi="Times New Roman" w:cs="Times New Roman"/>
          <w:sz w:val="24"/>
          <w:szCs w:val="24"/>
        </w:rPr>
        <w:t>12</w:t>
      </w:r>
      <w:r w:rsidR="00F95758" w:rsidRPr="004D3B4C">
        <w:rPr>
          <w:rFonts w:ascii="Times New Roman" w:hAnsi="Times New Roman" w:cs="Times New Roman"/>
          <w:sz w:val="24"/>
          <w:szCs w:val="24"/>
        </w:rPr>
        <w:t>.201</w:t>
      </w:r>
      <w:r w:rsidR="00C550D9">
        <w:rPr>
          <w:rFonts w:ascii="Times New Roman" w:hAnsi="Times New Roman" w:cs="Times New Roman"/>
          <w:sz w:val="24"/>
          <w:szCs w:val="24"/>
        </w:rPr>
        <w:t>8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58" w:rsidRPr="004D3B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670</w:t>
      </w:r>
    </w:p>
    <w:p w:rsidR="004D3B4C" w:rsidRPr="004D3B4C" w:rsidRDefault="004D3B4C" w:rsidP="00F957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4D3B4C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4D3B4C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муниципального образования Тверской области «Весьегонский район»«Информационное обеспечение населения Весьегонского района» </w:t>
            </w:r>
            <w:r w:rsidR="00C550D9">
              <w:rPr>
                <w:rFonts w:ascii="Times New Roman" w:hAnsi="Times New Roman" w:cs="Times New Roman"/>
                <w:sz w:val="24"/>
                <w:szCs w:val="24"/>
              </w:rPr>
              <w:t>на 2019 – 2024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4D3B4C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</w:t>
      </w:r>
      <w:r w:rsidR="00F64CE1" w:rsidRPr="004D3B4C">
        <w:rPr>
          <w:rFonts w:ascii="Times New Roman" w:hAnsi="Times New Roman" w:cs="Times New Roman"/>
          <w:sz w:val="24"/>
          <w:szCs w:val="24"/>
        </w:rPr>
        <w:t>е Тверской области, утверждённы</w:t>
      </w:r>
      <w:r w:rsidRPr="004D3B4C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473,</w:t>
      </w:r>
    </w:p>
    <w:p w:rsidR="00F95758" w:rsidRPr="004D3B4C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4D3B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3B4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53C3B" w:rsidRPr="004D3B4C" w:rsidRDefault="00B53C3B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«Информационное обеспечение населения Весьегонского района» на 201</w:t>
      </w:r>
      <w:r w:rsidR="00C550D9">
        <w:rPr>
          <w:rFonts w:ascii="Times New Roman" w:hAnsi="Times New Roman" w:cs="Times New Roman"/>
          <w:color w:val="000000"/>
          <w:sz w:val="24"/>
          <w:szCs w:val="24"/>
        </w:rPr>
        <w:t>9 – 2024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муниципального образования Тверской области «Весьегонский район»  в информационно-тел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01.01.2019 года.</w:t>
      </w:r>
    </w:p>
    <w:p w:rsid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C550D9" w:rsidRDefault="00B242CA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2958465</wp:posOffset>
            </wp:positionH>
            <wp:positionV relativeFrom="paragraph">
              <wp:posOffset>57785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D9" w:rsidRPr="00C550D9" w:rsidRDefault="00C550D9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B4C" w:rsidRDefault="00C550D9" w:rsidP="00B242CA">
      <w:pPr>
        <w:jc w:val="center"/>
        <w:rPr>
          <w:rFonts w:ascii="Times New Roman" w:eastAsia="Times New Roman" w:hAnsi="Times New Roman" w:cs="Times New Roman"/>
        </w:rPr>
      </w:pPr>
      <w:r w:rsidRPr="00C550D9">
        <w:rPr>
          <w:rFonts w:ascii="Times New Roman" w:eastAsia="Times New Roman" w:hAnsi="Times New Roman" w:cs="Times New Roman"/>
        </w:rPr>
        <w:t xml:space="preserve">Глава администрации района                           </w:t>
      </w:r>
      <w:r w:rsidR="00B242CA">
        <w:rPr>
          <w:rFonts w:ascii="Times New Roman" w:eastAsia="Times New Roman" w:hAnsi="Times New Roman" w:cs="Times New Roman"/>
        </w:rPr>
        <w:t xml:space="preserve"> </w:t>
      </w:r>
      <w:r w:rsidRPr="00C550D9">
        <w:rPr>
          <w:rFonts w:ascii="Times New Roman" w:eastAsia="Times New Roman" w:hAnsi="Times New Roman" w:cs="Times New Roman"/>
        </w:rPr>
        <w:t xml:space="preserve">         И.И. Угнивенко 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Pr="00F95758">
        <w:rPr>
          <w:rFonts w:ascii="Times New Roman" w:eastAsia="Times New Roman" w:hAnsi="Times New Roman" w:cs="Times New Roman"/>
        </w:rPr>
        <w:t xml:space="preserve"> адми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района</w:t>
      </w:r>
    </w:p>
    <w:p w:rsidR="00C310D2" w:rsidRPr="00F95758" w:rsidRDefault="00B242CA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29</w:t>
      </w:r>
      <w:r w:rsidR="005F7613">
        <w:rPr>
          <w:rFonts w:ascii="Times New Roman" w:eastAsia="Times New Roman" w:hAnsi="Times New Roman" w:cs="Times New Roman"/>
        </w:rPr>
        <w:t>.</w:t>
      </w:r>
      <w:r w:rsidR="00C550D9">
        <w:rPr>
          <w:rFonts w:ascii="Times New Roman" w:eastAsia="Times New Roman" w:hAnsi="Times New Roman" w:cs="Times New Roman"/>
        </w:rPr>
        <w:t>12.2018</w:t>
      </w:r>
      <w:r>
        <w:rPr>
          <w:rFonts w:ascii="Times New Roman" w:eastAsia="Times New Roman" w:hAnsi="Times New Roman" w:cs="Times New Roman"/>
        </w:rPr>
        <w:t xml:space="preserve">   </w:t>
      </w:r>
      <w:r w:rsidR="00581B2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670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>«Весьегонский район»</w:t>
      </w: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87964" w:rsidRPr="00787964">
        <w:rPr>
          <w:rFonts w:ascii="Times New Roman" w:eastAsia="Times New Roman" w:hAnsi="Times New Roman" w:cs="Times New Roman"/>
          <w:sz w:val="32"/>
          <w:szCs w:val="32"/>
        </w:rPr>
        <w:t>Информационное обеспечение населения Весьегонского района»</w:t>
      </w:r>
      <w:r w:rsidR="00BA349F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C550D9">
        <w:rPr>
          <w:rFonts w:ascii="Times New Roman" w:eastAsia="Times New Roman" w:hAnsi="Times New Roman" w:cs="Times New Roman"/>
          <w:sz w:val="32"/>
          <w:szCs w:val="32"/>
        </w:rPr>
        <w:t>9 - 2024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D942B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550D9">
        <w:rPr>
          <w:rFonts w:ascii="Times New Roman" w:hAnsi="Times New Roman" w:cs="Times New Roman"/>
          <w:sz w:val="24"/>
          <w:szCs w:val="24"/>
        </w:rPr>
        <w:t>8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C550D9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0D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 Тверской области «Весьегонский район» «Информационное обеспечение населения Весьегонского района» на 2019 – 2024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550D9" w:rsidRPr="00C550D9" w:rsidTr="00F550D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населения Весьегонского района»  на 2019– 2024 годы</w:t>
            </w:r>
          </w:p>
        </w:tc>
      </w:tr>
      <w:tr w:rsidR="00C550D9" w:rsidRPr="00C550D9" w:rsidTr="00F550D8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550D9" w:rsidRPr="00C550D9" w:rsidTr="00F550D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550D9" w:rsidRPr="00C550D9" w:rsidTr="00F550D8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C550D9" w:rsidRPr="00C550D9" w:rsidTr="00F550D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района. </w:t>
            </w:r>
          </w:p>
        </w:tc>
      </w:tr>
      <w:tr w:rsidR="00C550D9" w:rsidRPr="00C550D9" w:rsidTr="00F550D8">
        <w:trPr>
          <w:cantSplit/>
          <w:trHeight w:val="115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1   «Совершенствование,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F550D8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F550D8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3 600 000,00, из </w:t>
            </w:r>
            <w:proofErr w:type="gramStart"/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600 000,00,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600 000,00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600 000,00,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600 000,00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600 000,00,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600 000,00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600 000,00,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600 000,00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600 000,00,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600 000,00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600 000,00,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600 000,00</w:t>
            </w:r>
          </w:p>
        </w:tc>
      </w:tr>
    </w:tbl>
    <w:p w:rsidR="00514A6E" w:rsidRDefault="00514A6E" w:rsidP="00514A6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05742A" w:rsidP="00AD757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занимает доминирующее положение на информационном рынке Весьегонского района.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>в 2018 году составляет 1</w:t>
      </w:r>
      <w:r w:rsidR="00776D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>53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0 экземпляров. Он значительно превышает общий тираж  областных, центральных и других газет всех видов, выписываемых и продаваемых в розницу в Весьегонском районе. Газета доступна основной части населения района. Её преимущество в том, что ей доверяют, из неё люди черпают необходимую информацию, получают ответы на самые актуальные вопросы.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сегодня востребована в связи с проводимыми в стране, области, районе преобразованиями, созданием привлекательного для инвесторов имиджа нашего района, с развитием туризма, претворением в жизнь различных социальных и экономических программ. Районная газета – это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(архив номеров газе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ты можно найти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на официальном сайте Весьегонского района).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районная газета «Весьегонская жизнь» в полной мере используется для опубликования постановлений администрации района, решений Собрания депутатов района, которые вступают в силу только после публикации. В газете помещается различная официальная информация из отделов администрации района, Собрания депутатов,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районной газеты и создание условий для обеспечения равного доступа к информации различных слоев населения Весьегонского района. </w:t>
      </w:r>
    </w:p>
    <w:p w:rsidR="0005742A" w:rsidRPr="00F80A1C" w:rsidRDefault="0005742A" w:rsidP="004D3B4C">
      <w:pPr>
        <w:pStyle w:val="ConsPlusNormal"/>
        <w:widowControl/>
        <w:numPr>
          <w:ilvl w:val="0"/>
          <w:numId w:val="3"/>
        </w:numPr>
        <w:spacing w:before="240" w:line="276" w:lineRule="auto"/>
        <w:ind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F80A1C">
        <w:rPr>
          <w:rFonts w:ascii="Times New Roman" w:hAnsi="Times New Roman" w:cs="Times New Roman"/>
          <w:sz w:val="24"/>
          <w:szCs w:val="24"/>
        </w:rPr>
        <w:t>.</w:t>
      </w:r>
    </w:p>
    <w:p w:rsidR="005A138A" w:rsidRPr="00F80A1C" w:rsidRDefault="004F53C3" w:rsidP="004D3B4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5A138A" w:rsidRPr="00F80A1C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на широкий доступ к своевременной и достоверной информации о социально-экономическом, общественном развитии Весьегонского района.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57E">
        <w:rPr>
          <w:rFonts w:ascii="Times New Roman" w:hAnsi="Times New Roman" w:cs="Times New Roman"/>
          <w:sz w:val="24"/>
          <w:szCs w:val="24"/>
        </w:rPr>
        <w:t xml:space="preserve"> Тираж районной газеты</w:t>
      </w:r>
      <w:r w:rsidR="00EE7C49" w:rsidRPr="00EE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4A" w:rsidRDefault="00EE7C49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eastAsia="Times New Roman" w:hAnsi="Times New Roman" w:cs="Times New Roman"/>
          <w:sz w:val="24"/>
          <w:szCs w:val="24"/>
        </w:rPr>
        <w:t>Функционирование сайта районной газеты</w:t>
      </w:r>
      <w:r w:rsid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EE7C49" w:rsidRPr="00EE7C49" w:rsidRDefault="00EE7C4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lastRenderedPageBreak/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EE7C49" w:rsidRDefault="00EE7C49" w:rsidP="00EE7C49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тиража районной газеты на уровне 201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Обеспечение возможности для населения Весьегонского района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района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Участие населения в общественной жизни района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3D7D4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bookmarkStart w:id="0" w:name="_GoBack"/>
      <w:bookmarkEnd w:id="0"/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Администрации Тверской области (в том числе пресс-службой) </w:t>
      </w:r>
    </w:p>
    <w:p w:rsidR="00EF5D8A" w:rsidRPr="005E646F" w:rsidRDefault="00EF5D8A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отделами 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br/>
        <w:t>Весьегонского район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  <w:r w:rsidRPr="00EF5D8A">
        <w:rPr>
          <w:rFonts w:ascii="Times New Roman" w:hAnsi="Times New Roman" w:cs="Times New Roman"/>
          <w:bCs/>
          <w:sz w:val="24"/>
          <w:szCs w:val="24"/>
        </w:rPr>
        <w:t>обеспечение обр</w:t>
      </w:r>
      <w:r>
        <w:rPr>
          <w:rFonts w:ascii="Times New Roman" w:hAnsi="Times New Roman" w:cs="Times New Roman"/>
          <w:bCs/>
          <w:sz w:val="24"/>
          <w:szCs w:val="24"/>
        </w:rPr>
        <w:t>атной связи с населением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постановлений, поздравлений, обраще</w:t>
      </w:r>
      <w:r w:rsidR="003D7D45">
        <w:rPr>
          <w:rFonts w:ascii="Times New Roman" w:hAnsi="Times New Roman" w:cs="Times New Roman"/>
          <w:bCs/>
          <w:sz w:val="24"/>
          <w:szCs w:val="24"/>
        </w:rPr>
        <w:t>ний главы Весьегонского района,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района</w:t>
      </w:r>
      <w:r w:rsidR="003D7D45">
        <w:rPr>
          <w:rFonts w:ascii="Times New Roman" w:hAnsi="Times New Roman" w:cs="Times New Roman"/>
          <w:bCs/>
          <w:sz w:val="24"/>
          <w:szCs w:val="24"/>
        </w:rPr>
        <w:t>,</w:t>
      </w:r>
      <w:r w:rsidR="003D7D45" w:rsidRPr="005E646F">
        <w:rPr>
          <w:rFonts w:ascii="Times New Roman" w:hAnsi="Times New Roman" w:cs="Times New Roman"/>
          <w:bCs/>
          <w:sz w:val="24"/>
          <w:szCs w:val="24"/>
        </w:rPr>
        <w:t>решений Собрания депутатов Весьегонского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3D7D45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Подготовка журналистами газеты интервью, статей, корреспонденции главы района, главы администрации района, его заместителей и другихсотрудников администрации района и руководителей их на </w:t>
      </w:r>
      <w:r w:rsidRPr="005E64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страницах газеты. </w:t>
      </w:r>
      <w:r w:rsidRPr="003D7D45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районными общественнымиорганизациями.</w:t>
      </w:r>
    </w:p>
    <w:p w:rsidR="000D2D71" w:rsidRPr="005E646F" w:rsidRDefault="000D2D71" w:rsidP="000D2D71">
      <w:pPr>
        <w:shd w:val="clear" w:color="auto" w:fill="FFFFFF"/>
        <w:snapToGrid w:val="0"/>
        <w:spacing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АНО «Редакция газеты «Весьегонская жизнь». </w:t>
      </w:r>
      <w:r w:rsidRPr="005E646F">
        <w:rPr>
          <w:rFonts w:ascii="Times New Roman" w:hAnsi="Times New Roman" w:cs="Times New Roman"/>
          <w:bCs/>
          <w:sz w:val="24"/>
          <w:szCs w:val="24"/>
        </w:rPr>
        <w:t>После утверждения бюджета Весьегонского района на соответствующий год бюджетные средства в соответствии со сметой доходов и расходов, бюджетной росписью, направляются на финансирование мероприятий Программы. Бухгалтерия администрации Весьегонского района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646F">
        <w:rPr>
          <w:rFonts w:ascii="Times New Roman" w:hAnsi="Times New Roman" w:cs="Times New Roman"/>
          <w:bCs/>
          <w:sz w:val="24"/>
          <w:szCs w:val="24"/>
        </w:rPr>
        <w:t xml:space="preserve">Условием получения бюджетных средств районной газетой является участие администрации района в качестве учредителя районной газеты, официальное опубликование в газете необходимых для жизнедеятельности Весьегонского района нормативно-правовых актов, постановлений главы администрации Весьегонского района, решений Собрания депутатов, иной официальной информации на основании договора о финансовой поддержке редакции газеты «Весьегонская жизнь», заключенного с администрацией Весьегонского района. </w:t>
      </w:r>
      <w:proofErr w:type="gramEnd"/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14A6E">
        <w:rPr>
          <w:rFonts w:ascii="Times New Roman" w:hAnsi="Times New Roman" w:cs="Times New Roman"/>
          <w:bCs/>
        </w:rPr>
        <w:t>3 6</w:t>
      </w:r>
      <w:r w:rsidR="00B25C79">
        <w:rPr>
          <w:rFonts w:ascii="Times New Roman" w:hAnsi="Times New Roman" w:cs="Times New Roman"/>
          <w:bCs/>
        </w:rPr>
        <w:t>0</w:t>
      </w:r>
      <w:r w:rsidR="00784D23" w:rsidRPr="0047713C">
        <w:rPr>
          <w:rFonts w:ascii="Times New Roman" w:hAnsi="Times New Roman" w:cs="Times New Roman"/>
          <w:bCs/>
        </w:rPr>
        <w:t>0 000,00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9B628C" w:rsidRPr="00370C22" w:rsidTr="004E6DB8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E6DB8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514A6E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125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E12560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7713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0F190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E12560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2A2850">
        <w:tc>
          <w:tcPr>
            <w:tcW w:w="1526" w:type="dxa"/>
            <w:vAlign w:val="center"/>
          </w:tcPr>
          <w:p w:rsidR="00514A6E" w:rsidRPr="00370C22" w:rsidRDefault="00E12560" w:rsidP="001E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514A6E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514A6E" w:rsidRDefault="00514A6E" w:rsidP="001E07CF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2A2850">
        <w:tc>
          <w:tcPr>
            <w:tcW w:w="1526" w:type="dxa"/>
            <w:vAlign w:val="center"/>
          </w:tcPr>
          <w:p w:rsidR="00514A6E" w:rsidRPr="00370C22" w:rsidRDefault="00E12560" w:rsidP="001E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514A6E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14A6E" w:rsidRPr="0047713C" w:rsidRDefault="00514A6E" w:rsidP="001E07C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514A6E" w:rsidRDefault="00514A6E" w:rsidP="001E07CF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514A6E" w:rsidRPr="0047713C" w:rsidRDefault="00514A6E" w:rsidP="001E07C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2A2850">
        <w:tc>
          <w:tcPr>
            <w:tcW w:w="1526" w:type="dxa"/>
            <w:vAlign w:val="center"/>
          </w:tcPr>
          <w:p w:rsidR="00514A6E" w:rsidRPr="00370C22" w:rsidRDefault="00E12560" w:rsidP="001E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14A6E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514A6E" w:rsidRDefault="00514A6E" w:rsidP="001E07CF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4E6DB8">
        <w:tc>
          <w:tcPr>
            <w:tcW w:w="1526" w:type="dxa"/>
            <w:vAlign w:val="center"/>
          </w:tcPr>
          <w:p w:rsidR="00514A6E" w:rsidRPr="00370C22" w:rsidRDefault="00514A6E" w:rsidP="006C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514A6E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3 60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514A6E" w:rsidRDefault="00514A6E" w:rsidP="006C4C7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  <w:vAlign w:val="bottom"/>
          </w:tcPr>
          <w:p w:rsidR="00514A6E" w:rsidRPr="0047713C" w:rsidRDefault="00514A6E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3 60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E846E2" w:rsidRPr="00082A7F" w:rsidRDefault="00E846E2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CE7344">
        <w:rPr>
          <w:rFonts w:ascii="Times New Roman" w:hAnsi="Times New Roman" w:cs="Times New Roman"/>
          <w:noProof/>
          <w:sz w:val="24"/>
          <w:szCs w:val="24"/>
        </w:rPr>
        <w:t>9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CE7344">
        <w:rPr>
          <w:rFonts w:ascii="Times New Roman" w:hAnsi="Times New Roman" w:cs="Times New Roman"/>
          <w:noProof/>
          <w:sz w:val="24"/>
          <w:szCs w:val="24"/>
        </w:rPr>
        <w:t xml:space="preserve">24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A7A67"/>
    <w:rsid w:val="000D2D71"/>
    <w:rsid w:val="000F1903"/>
    <w:rsid w:val="001568AA"/>
    <w:rsid w:val="00165AA8"/>
    <w:rsid w:val="00170E4E"/>
    <w:rsid w:val="0019050F"/>
    <w:rsid w:val="001A6505"/>
    <w:rsid w:val="001B1F44"/>
    <w:rsid w:val="001B62FE"/>
    <w:rsid w:val="001C684F"/>
    <w:rsid w:val="001E6DC6"/>
    <w:rsid w:val="001F660F"/>
    <w:rsid w:val="00205EE1"/>
    <w:rsid w:val="0024422C"/>
    <w:rsid w:val="00253D05"/>
    <w:rsid w:val="00282EBF"/>
    <w:rsid w:val="00286957"/>
    <w:rsid w:val="002908EA"/>
    <w:rsid w:val="00291C11"/>
    <w:rsid w:val="002A35DC"/>
    <w:rsid w:val="002E160A"/>
    <w:rsid w:val="00325FB9"/>
    <w:rsid w:val="0035512D"/>
    <w:rsid w:val="00357194"/>
    <w:rsid w:val="003D4674"/>
    <w:rsid w:val="003D7D45"/>
    <w:rsid w:val="003E6AB5"/>
    <w:rsid w:val="003E7092"/>
    <w:rsid w:val="00416CE5"/>
    <w:rsid w:val="00441DE4"/>
    <w:rsid w:val="00461B5D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3DAC"/>
    <w:rsid w:val="005E646F"/>
    <w:rsid w:val="005F7613"/>
    <w:rsid w:val="0061312D"/>
    <w:rsid w:val="0063512F"/>
    <w:rsid w:val="00647F23"/>
    <w:rsid w:val="006533A8"/>
    <w:rsid w:val="0066777F"/>
    <w:rsid w:val="006723E6"/>
    <w:rsid w:val="006A31D9"/>
    <w:rsid w:val="006D502F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661A2"/>
    <w:rsid w:val="008663E3"/>
    <w:rsid w:val="008A0819"/>
    <w:rsid w:val="008A5DC3"/>
    <w:rsid w:val="008B446E"/>
    <w:rsid w:val="008E0C3F"/>
    <w:rsid w:val="009121F8"/>
    <w:rsid w:val="0091617B"/>
    <w:rsid w:val="00916E62"/>
    <w:rsid w:val="00933C5E"/>
    <w:rsid w:val="0099342A"/>
    <w:rsid w:val="009A1B4A"/>
    <w:rsid w:val="009B628C"/>
    <w:rsid w:val="00A07C27"/>
    <w:rsid w:val="00A266D5"/>
    <w:rsid w:val="00A418D2"/>
    <w:rsid w:val="00A66470"/>
    <w:rsid w:val="00AA210F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53585"/>
    <w:rsid w:val="00C550D9"/>
    <w:rsid w:val="00C75546"/>
    <w:rsid w:val="00C83E8B"/>
    <w:rsid w:val="00CE5A06"/>
    <w:rsid w:val="00CE7344"/>
    <w:rsid w:val="00D00422"/>
    <w:rsid w:val="00D37746"/>
    <w:rsid w:val="00D56421"/>
    <w:rsid w:val="00D92C8D"/>
    <w:rsid w:val="00D942BE"/>
    <w:rsid w:val="00DF18EE"/>
    <w:rsid w:val="00E12560"/>
    <w:rsid w:val="00E13847"/>
    <w:rsid w:val="00E729A5"/>
    <w:rsid w:val="00E833D6"/>
    <w:rsid w:val="00E8404E"/>
    <w:rsid w:val="00E846E2"/>
    <w:rsid w:val="00E97263"/>
    <w:rsid w:val="00EC5CC6"/>
    <w:rsid w:val="00ED7577"/>
    <w:rsid w:val="00EE30DD"/>
    <w:rsid w:val="00EE7C49"/>
    <w:rsid w:val="00EF5D8A"/>
    <w:rsid w:val="00F3242C"/>
    <w:rsid w:val="00F64CE1"/>
    <w:rsid w:val="00F71677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16</cp:revision>
  <cp:lastPrinted>2019-01-17T11:35:00Z</cp:lastPrinted>
  <dcterms:created xsi:type="dcterms:W3CDTF">2016-12-12T10:41:00Z</dcterms:created>
  <dcterms:modified xsi:type="dcterms:W3CDTF">2019-01-17T11:39:00Z</dcterms:modified>
</cp:coreProperties>
</file>