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Default="00A8106A" w:rsidP="00FE5741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4516916" r:id="rId6"/>
        </w:object>
      </w:r>
    </w:p>
    <w:p w:rsidR="00A8106A" w:rsidRPr="005F0485" w:rsidRDefault="00A8106A" w:rsidP="007D2E7C">
      <w:pPr>
        <w:spacing w:after="0" w:line="120" w:lineRule="atLeast"/>
        <w:jc w:val="center"/>
        <w:rPr>
          <w:rFonts w:ascii="Times New Roman" w:hAnsi="Times New Roman"/>
        </w:rPr>
      </w:pPr>
      <w:r w:rsidRPr="005F0485">
        <w:rPr>
          <w:rFonts w:ascii="Times New Roman" w:hAnsi="Times New Roman"/>
        </w:rPr>
        <w:t>АДМИНИСТРАЦИЯ  ВЕСЬЕГОНСКОГО  РАЙОНА</w:t>
      </w:r>
    </w:p>
    <w:p w:rsidR="00A8106A" w:rsidRDefault="00A8106A" w:rsidP="00FE5741">
      <w:pPr>
        <w:pStyle w:val="2"/>
        <w:spacing w:line="240" w:lineRule="atLeast"/>
        <w:jc w:val="center"/>
        <w:rPr>
          <w:rFonts w:ascii="Times New Roman" w:hAnsi="Times New Roman"/>
        </w:rPr>
      </w:pPr>
      <w:r w:rsidRPr="00DD6D31">
        <w:rPr>
          <w:rFonts w:ascii="Times New Roman" w:hAnsi="Times New Roman"/>
        </w:rPr>
        <w:t>ТВЕРСКОЙ  ОБЛАСТИ</w:t>
      </w:r>
    </w:p>
    <w:p w:rsidR="00A8106A" w:rsidRPr="00DD6D31" w:rsidRDefault="00A8106A" w:rsidP="00FE5741"/>
    <w:p w:rsidR="00A8106A" w:rsidRPr="00DD6D31" w:rsidRDefault="00A8106A" w:rsidP="00FE5741">
      <w:pPr>
        <w:pStyle w:val="3"/>
        <w:jc w:val="center"/>
        <w:rPr>
          <w:rFonts w:ascii="Times New Roman" w:hAnsi="Times New Roman"/>
          <w:b/>
        </w:rPr>
      </w:pPr>
      <w:proofErr w:type="gramStart"/>
      <w:r w:rsidRPr="00DD6D31">
        <w:rPr>
          <w:rFonts w:ascii="Times New Roman" w:hAnsi="Times New Roman"/>
          <w:b/>
        </w:rPr>
        <w:t>П</w:t>
      </w:r>
      <w:proofErr w:type="gramEnd"/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О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С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Т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А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Н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О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В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Л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Е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Н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И</w:t>
      </w:r>
      <w:r w:rsidR="007D2E7C">
        <w:rPr>
          <w:rFonts w:ascii="Times New Roman" w:hAnsi="Times New Roman"/>
          <w:b/>
        </w:rPr>
        <w:t xml:space="preserve"> </w:t>
      </w:r>
      <w:r w:rsidRPr="00DD6D31">
        <w:rPr>
          <w:rFonts w:ascii="Times New Roman" w:hAnsi="Times New Roman"/>
          <w:b/>
        </w:rPr>
        <w:t>Е</w:t>
      </w:r>
    </w:p>
    <w:p w:rsidR="00A8106A" w:rsidRPr="005F0485" w:rsidRDefault="00A8106A" w:rsidP="00FE5741">
      <w:pPr>
        <w:jc w:val="center"/>
        <w:rPr>
          <w:rFonts w:ascii="Times New Roman" w:hAnsi="Times New Roman"/>
        </w:rPr>
      </w:pPr>
      <w:r w:rsidRPr="005F0485">
        <w:rPr>
          <w:rFonts w:ascii="Times New Roman" w:hAnsi="Times New Roman"/>
        </w:rPr>
        <w:t>г. Весьегонск</w:t>
      </w:r>
    </w:p>
    <w:p w:rsidR="00A8106A" w:rsidRPr="00FE5741" w:rsidRDefault="00A8106A" w:rsidP="00FE5741">
      <w:pPr>
        <w:rPr>
          <w:rFonts w:ascii="Times New Roman" w:hAnsi="Times New Roman"/>
        </w:rPr>
      </w:pPr>
    </w:p>
    <w:p w:rsidR="00A8106A" w:rsidRDefault="007D2E7C" w:rsidP="00D12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28</w:t>
      </w:r>
      <w:r w:rsidR="00432CDB">
        <w:rPr>
          <w:rFonts w:ascii="Times New Roman" w:hAnsi="Times New Roman"/>
        </w:rPr>
        <w:t>.</w:t>
      </w:r>
      <w:r w:rsidR="00AE3108">
        <w:rPr>
          <w:rFonts w:ascii="Times New Roman" w:hAnsi="Times New Roman"/>
        </w:rPr>
        <w:t>12</w:t>
      </w:r>
      <w:r w:rsidR="00D71A55">
        <w:rPr>
          <w:rFonts w:ascii="Times New Roman" w:hAnsi="Times New Roman"/>
          <w:sz w:val="24"/>
          <w:szCs w:val="24"/>
        </w:rPr>
        <w:t>.2016</w:t>
      </w:r>
      <w:r w:rsidR="00A81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8106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459</w:t>
      </w:r>
      <w:r w:rsidR="00A810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9"/>
      </w:tblGrid>
      <w:tr w:rsidR="00A8106A" w:rsidTr="00432CDB">
        <w:trPr>
          <w:trHeight w:val="1538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8106A" w:rsidRDefault="00A8106A" w:rsidP="00432CDB">
            <w:pPr>
              <w:tabs>
                <w:tab w:val="left" w:pos="196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 утверждении  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7D2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«Патриотическое воспитание молодежи Весьегонского района»</w:t>
            </w:r>
            <w:r w:rsidR="00D71A55">
              <w:rPr>
                <w:rFonts w:ascii="Times New Roman" w:hAnsi="Times New Roman"/>
                <w:sz w:val="24"/>
                <w:szCs w:val="24"/>
              </w:rPr>
              <w:t xml:space="preserve"> на 2017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8106A" w:rsidRDefault="00A8106A" w:rsidP="00D12DDE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8106A" w:rsidRDefault="00A8106A" w:rsidP="00D12DDE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A8106A" w:rsidRPr="00432CDB" w:rsidRDefault="00A8106A" w:rsidP="00D12DD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</w:rPr>
      </w:pPr>
      <w:proofErr w:type="gramStart"/>
      <w:r w:rsidRPr="00432CDB">
        <w:rPr>
          <w:rFonts w:ascii="Times New Roman" w:hAnsi="Times New Roman"/>
          <w:b/>
        </w:rPr>
        <w:t>п</w:t>
      </w:r>
      <w:proofErr w:type="gramEnd"/>
      <w:r w:rsidRPr="00432CDB">
        <w:rPr>
          <w:rFonts w:ascii="Times New Roman" w:hAnsi="Times New Roman"/>
          <w:b/>
        </w:rPr>
        <w:t xml:space="preserve"> о с т а н о в л я ю:</w:t>
      </w:r>
    </w:p>
    <w:p w:rsidR="00A8106A" w:rsidRDefault="00A8106A" w:rsidP="007D2E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590180">
        <w:rPr>
          <w:rFonts w:ascii="Times New Roman" w:hAnsi="Times New Roman"/>
          <w:bCs/>
          <w:sz w:val="24"/>
          <w:szCs w:val="24"/>
          <w:lang w:eastAsia="en-US"/>
        </w:rPr>
        <w:t>«Патриотическое воспитание молодежи Весьегонского района»</w:t>
      </w:r>
      <w:r w:rsidR="00D71A55">
        <w:rPr>
          <w:rFonts w:ascii="Times New Roman" w:hAnsi="Times New Roman"/>
          <w:color w:val="000000"/>
          <w:sz w:val="24"/>
          <w:szCs w:val="24"/>
        </w:rPr>
        <w:t>на 2017 – 2019</w:t>
      </w:r>
      <w:r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A8106A" w:rsidRPr="00D17396" w:rsidRDefault="00A8106A" w:rsidP="007D2E7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Разместить настоящее постановление на официальном сайте муниципального образования Тверской области «Весьегонский район»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информационно-телекоммуникационной сети интернет. </w:t>
      </w:r>
    </w:p>
    <w:p w:rsidR="00A8106A" w:rsidRDefault="00A8106A" w:rsidP="007D2E7C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396">
        <w:rPr>
          <w:rFonts w:ascii="Times New Roman" w:hAnsi="Times New Roman"/>
          <w:color w:val="000000"/>
          <w:sz w:val="24"/>
          <w:szCs w:val="24"/>
        </w:rPr>
        <w:t>Настоящее постановление вст</w:t>
      </w:r>
      <w:r>
        <w:rPr>
          <w:rFonts w:ascii="Times New Roman" w:hAnsi="Times New Roman"/>
          <w:color w:val="000000"/>
          <w:sz w:val="24"/>
          <w:szCs w:val="24"/>
        </w:rPr>
        <w:t>упает в силу с 01.01.201</w:t>
      </w:r>
      <w:r w:rsidR="00D71A5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и подлежит официальному о</w:t>
      </w:r>
      <w:r w:rsidRPr="00D17396">
        <w:rPr>
          <w:rFonts w:ascii="Times New Roman" w:hAnsi="Times New Roman"/>
          <w:color w:val="000000"/>
          <w:sz w:val="24"/>
          <w:szCs w:val="24"/>
        </w:rPr>
        <w:t>публикова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 w:rsidRPr="00D17396">
        <w:rPr>
          <w:rFonts w:ascii="Times New Roman" w:hAnsi="Times New Roman"/>
          <w:color w:val="000000"/>
          <w:sz w:val="24"/>
          <w:szCs w:val="24"/>
        </w:rPr>
        <w:t xml:space="preserve"> в газете «Весьегонская жизнь».</w:t>
      </w:r>
    </w:p>
    <w:p w:rsidR="00A8106A" w:rsidRDefault="00A8106A" w:rsidP="007D2E7C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A8106A" w:rsidRDefault="007D2E7C" w:rsidP="00D12DDE">
      <w:pPr>
        <w:shd w:val="clear" w:color="auto" w:fill="FFFFFF"/>
        <w:tabs>
          <w:tab w:val="left" w:pos="7651"/>
        </w:tabs>
        <w:ind w:left="749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paragraph">
              <wp:posOffset>206338</wp:posOffset>
            </wp:positionV>
            <wp:extent cx="1028700" cy="835062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06A" w:rsidRDefault="00A8106A" w:rsidP="00D12DDE">
      <w:pPr>
        <w:shd w:val="clear" w:color="auto" w:fill="FFFFFF"/>
        <w:tabs>
          <w:tab w:val="left" w:pos="7651"/>
        </w:tabs>
        <w:ind w:left="749"/>
        <w:rPr>
          <w:rFonts w:ascii="Times New Roman" w:hAnsi="Times New Roman"/>
          <w:bCs/>
        </w:rPr>
      </w:pPr>
    </w:p>
    <w:p w:rsidR="00A8106A" w:rsidRDefault="00510E2F" w:rsidP="00D12DDE">
      <w:pPr>
        <w:shd w:val="clear" w:color="auto" w:fill="FFFFFF"/>
        <w:tabs>
          <w:tab w:val="left" w:pos="7651"/>
        </w:tabs>
        <w:ind w:left="749"/>
        <w:rPr>
          <w:rFonts w:ascii="Times New Roman" w:hAnsi="Times New Roman"/>
          <w:bCs/>
        </w:rPr>
      </w:pPr>
      <w:r w:rsidRPr="00510E2F">
        <w:rPr>
          <w:noProof/>
        </w:rPr>
        <w:pict>
          <v:shape id="Рисунок 4" o:spid="_x0000_s1026" type="#_x0000_t75" style="position:absolute;left:0;text-align:left;margin-left:312.05pt;margin-top:390.05pt;width:85pt;height:69pt;z-index:251658240;visibility:visible;mso-wrap-distance-left:504.05pt;mso-wrap-distance-right:504.05pt;mso-position-horizontal-relative:margin">
            <v:imagedata r:id="rId8" o:title=""/>
            <w10:wrap anchorx="margin"/>
          </v:shape>
        </w:pict>
      </w:r>
      <w:r w:rsidRPr="00510E2F">
        <w:rPr>
          <w:noProof/>
        </w:rPr>
        <w:pict>
          <v:shape id="Рисунок 3" o:spid="_x0000_s1027" type="#_x0000_t75" style="position:absolute;left:0;text-align:left;margin-left:312.05pt;margin-top:390.05pt;width:85pt;height:69pt;z-index:251657216;visibility:visible;mso-wrap-distance-left:504.05pt;mso-wrap-distance-right:504.05pt;mso-position-horizontal-relative:margin">
            <v:imagedata r:id="rId8" o:title=""/>
            <w10:wrap anchorx="margin"/>
          </v:shape>
        </w:pict>
      </w:r>
      <w:r w:rsidR="00D71A55">
        <w:rPr>
          <w:rFonts w:ascii="Times New Roman" w:hAnsi="Times New Roman"/>
          <w:bCs/>
        </w:rPr>
        <w:t>Глава</w:t>
      </w:r>
      <w:r w:rsidR="00A8106A">
        <w:rPr>
          <w:rFonts w:ascii="Times New Roman" w:hAnsi="Times New Roman"/>
          <w:bCs/>
        </w:rPr>
        <w:t xml:space="preserve"> администрации района                                                 </w:t>
      </w:r>
      <w:r w:rsidR="00D71A55">
        <w:rPr>
          <w:rFonts w:ascii="Times New Roman" w:hAnsi="Times New Roman"/>
          <w:bCs/>
        </w:rPr>
        <w:t>И.И. Угнивенко</w:t>
      </w:r>
    </w:p>
    <w:p w:rsidR="00A8106A" w:rsidRPr="005F0485" w:rsidRDefault="00A8106A" w:rsidP="00FE574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A8106A" w:rsidRDefault="00A8106A" w:rsidP="009D2001">
      <w:pPr>
        <w:spacing w:after="0" w:line="240" w:lineRule="atLeast"/>
        <w:ind w:left="4820"/>
        <w:rPr>
          <w:rFonts w:ascii="Times New Roman" w:hAnsi="Times New Roman"/>
        </w:rPr>
      </w:pPr>
    </w:p>
    <w:p w:rsidR="007D2E7C" w:rsidRDefault="007D2E7C" w:rsidP="009D2001">
      <w:pPr>
        <w:spacing w:after="0" w:line="240" w:lineRule="atLeast"/>
        <w:ind w:left="4820"/>
        <w:rPr>
          <w:rFonts w:ascii="Times New Roman" w:hAnsi="Times New Roman"/>
        </w:rPr>
      </w:pPr>
    </w:p>
    <w:p w:rsidR="00A8106A" w:rsidRDefault="00A8106A" w:rsidP="00432CDB">
      <w:pPr>
        <w:spacing w:after="0" w:line="240" w:lineRule="atLeast"/>
        <w:rPr>
          <w:rFonts w:ascii="Times New Roman" w:hAnsi="Times New Roman"/>
        </w:rPr>
      </w:pPr>
    </w:p>
    <w:p w:rsidR="00A8106A" w:rsidRDefault="00432CDB" w:rsidP="00324AB4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Утверждена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</w:t>
      </w:r>
      <w:r w:rsidRPr="00F95758">
        <w:rPr>
          <w:rFonts w:ascii="Times New Roman" w:hAnsi="Times New Roman"/>
        </w:rPr>
        <w:t xml:space="preserve"> администрации 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Весьегонского р</w:t>
      </w:r>
      <w:r>
        <w:rPr>
          <w:rFonts w:ascii="Times New Roman" w:hAnsi="Times New Roman"/>
        </w:rPr>
        <w:t xml:space="preserve">айона </w:t>
      </w:r>
    </w:p>
    <w:p w:rsidR="00A8106A" w:rsidRDefault="007D2E7C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</w:t>
      </w:r>
      <w:r w:rsidR="00D71A55">
        <w:rPr>
          <w:rFonts w:ascii="Times New Roman" w:hAnsi="Times New Roman"/>
        </w:rPr>
        <w:t>.12.2016  №</w:t>
      </w:r>
      <w:r>
        <w:rPr>
          <w:rFonts w:ascii="Times New Roman" w:hAnsi="Times New Roman"/>
        </w:rPr>
        <w:t xml:space="preserve"> 459</w:t>
      </w:r>
      <w:r w:rsidR="00A8106A">
        <w:rPr>
          <w:rFonts w:ascii="Times New Roman" w:hAnsi="Times New Roman"/>
        </w:rPr>
        <w:t>.</w:t>
      </w:r>
    </w:p>
    <w:p w:rsidR="00A8106A" w:rsidRPr="00F95758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1B5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461B5D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461B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Патриотическое воспитание молоде</w:t>
      </w:r>
      <w:r w:rsidR="00D71A55">
        <w:rPr>
          <w:rFonts w:ascii="Times New Roman" w:hAnsi="Times New Roman"/>
          <w:sz w:val="32"/>
          <w:szCs w:val="32"/>
        </w:rPr>
        <w:t>жи Весьегонского района» на 2017 - 2019</w:t>
      </w:r>
      <w:r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D17396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D71A55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266D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266D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A266D5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A266D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7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молодежи Весьегонского района»</w:t>
      </w:r>
    </w:p>
    <w:p w:rsidR="00A8106A" w:rsidRDefault="00D71A55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</w:t>
      </w:r>
      <w:r w:rsidR="00A810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A8106A">
        <w:rPr>
          <w:rFonts w:ascii="Times New Roman" w:hAnsi="Times New Roman"/>
          <w:sz w:val="28"/>
          <w:szCs w:val="28"/>
        </w:rPr>
        <w:t xml:space="preserve"> годы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Весьегонского района»  на 201</w:t>
            </w:r>
            <w:r w:rsidR="00D7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7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8106A" w:rsidRPr="00184333" w:rsidTr="00AD757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 Тверской области</w:t>
            </w:r>
          </w:p>
        </w:tc>
      </w:tr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</w:tr>
      <w:tr w:rsidR="00A8106A" w:rsidRPr="00184333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D71A55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AF70D3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sz w:val="24"/>
                <w:szCs w:val="24"/>
              </w:rPr>
              <w:t xml:space="preserve">Обеспечение  условий  для 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патриотического воспитания молодежи Весьегонского района на базе учреждения МУ «МСПЦ «Кировец»</w:t>
            </w:r>
          </w:p>
        </w:tc>
      </w:tr>
      <w:tr w:rsidR="00A8106A" w:rsidRPr="00184333" w:rsidTr="00D61B11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184333" w:rsidRDefault="00A8106A" w:rsidP="006936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«Развитие МУ «МСПЦ «Кировец» (далее подпрограмма 1)</w:t>
            </w:r>
          </w:p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D61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EC5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для занятий воспитанников МУ «МСПЦ «Кировец» водными видами спорта</w:t>
            </w:r>
            <w:r w:rsidRPr="00D6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</w:t>
            </w:r>
          </w:p>
        </w:tc>
      </w:tr>
      <w:tr w:rsidR="00A8106A" w:rsidRPr="00184333" w:rsidTr="00276B6B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жителей, занимающихся спортом.</w:t>
            </w:r>
          </w:p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горожан.</w:t>
            </w:r>
          </w:p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потока туристов.</w:t>
            </w:r>
          </w:p>
          <w:p w:rsidR="00A8106A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туристской индустрии з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а счет внебюджетных источников</w:t>
            </w:r>
          </w:p>
          <w:p w:rsidR="00A8106A" w:rsidRPr="00184333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к занятиям спортом и ведению здорового образа жизни.</w:t>
            </w:r>
          </w:p>
        </w:tc>
      </w:tr>
      <w:tr w:rsidR="00A8106A" w:rsidRPr="00184333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по годам ее реализации  в разрезе </w:t>
            </w:r>
            <w:r w:rsidR="00D71A55"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A55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3 640 089,00</w:t>
            </w:r>
          </w:p>
          <w:p w:rsidR="00A8106A" w:rsidRDefault="00220027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8106A" w:rsidRDefault="00A8106A" w:rsidP="00627D4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1 213 363,00</w:t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06A" w:rsidRDefault="00220027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A8106A"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A8106A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06A" w:rsidRPr="00264D00" w:rsidRDefault="00220027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bookmarkStart w:id="0" w:name="_GoBack"/>
            <w:bookmarkEnd w:id="0"/>
            <w:r w:rsidR="00A8106A"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5A138A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Pr="00EE7C49" w:rsidRDefault="00A8106A" w:rsidP="007D2E7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2012 году на территории Весьегонского района была начата работа по обустройству территории для занятий водными видами спорта,  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>в 2012 - 2013 годах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реализовывалась м</w:t>
      </w:r>
      <w:r w:rsidRPr="007D2E7C">
        <w:rPr>
          <w:rFonts w:ascii="Times New Roman" w:hAnsi="Times New Roman"/>
          <w:sz w:val="24"/>
          <w:szCs w:val="24"/>
        </w:rPr>
        <w:t xml:space="preserve">униципальная программа  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>«Обустройство территории для занятий воспитанников МУ «МСПЦ «Кировец» водными видами спорта</w:t>
      </w:r>
      <w:r w:rsidR="00D71A55" w:rsidRPr="007D2E7C">
        <w:rPr>
          <w:rFonts w:ascii="Times New Roman" w:hAnsi="Times New Roman"/>
          <w:bCs/>
          <w:sz w:val="24"/>
          <w:szCs w:val="24"/>
          <w:lang w:eastAsia="en-US"/>
        </w:rPr>
        <w:t>», затем, в 2014 – 16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 xml:space="preserve"> годах - муниципальная программа муниципального образования Тверской области «Весьегонский район</w:t>
      </w:r>
      <w:proofErr w:type="gramStart"/>
      <w:r w:rsidRPr="007D2E7C">
        <w:rPr>
          <w:rFonts w:ascii="Times New Roman" w:hAnsi="Times New Roman"/>
          <w:bCs/>
          <w:sz w:val="24"/>
          <w:szCs w:val="24"/>
          <w:lang w:eastAsia="en-US"/>
        </w:rPr>
        <w:t>»«</w:t>
      </w:r>
      <w:proofErr w:type="gramEnd"/>
      <w:r w:rsidRPr="007D2E7C">
        <w:rPr>
          <w:rFonts w:ascii="Times New Roman" w:hAnsi="Times New Roman"/>
          <w:bCs/>
          <w:sz w:val="24"/>
          <w:szCs w:val="24"/>
          <w:lang w:eastAsia="en-US"/>
        </w:rPr>
        <w:t>Патриотическое воспитание молодежи Весьегонского района»</w:t>
      </w:r>
      <w:r w:rsidRPr="007D2E7C">
        <w:rPr>
          <w:rFonts w:ascii="Times New Roman" w:hAnsi="Times New Roman"/>
          <w:color w:val="000000"/>
          <w:sz w:val="24"/>
          <w:szCs w:val="24"/>
        </w:rPr>
        <w:t>. Необходимо продолжить решение органами местного самоуправления вопросов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районе большую работу по патриотическому воспитанию молодёжи с 2005 года проводит МУ Весьегонского района МСПЦ «Кировец». Ежегодно проводятся следующие мероприятия: полевые выходы с курсантами ВПК «Кировец»,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,  районная спартакиада допризывной молодежи,  открытое первенство по туризму Весьегонского района, летние военно-полевые сборы,  водные экспедиции, районные соревнования по спортивному ориентированию,  экскурсионные поездки. В 2007 году организованна и проведена войсковая стажировка курсантов ВПК «Кировец»  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Каспийск республика Дагестан, в 2008 году – на базе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в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Рязани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муниципальное учреждение Весьегонского района «Молодежный спортивно-патриотический центр «Кировец»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№1.Центр 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ВПК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«Молодежный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</w:t>
      </w: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276B6B" w:rsidRDefault="00A8106A" w:rsidP="00276B6B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A8106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>патриотического воспитания молодежи Весьегонского района на базе учреждения МУ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 Значения показателей целей программы по годам ее реализации  приведены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A8106A" w:rsidP="00EE7C4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б) задача 2 – 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Pr="00E178F2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2 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доля материально – технической базы нуждающейся в улучшении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проведении ремонта;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E178F2">
        <w:rPr>
          <w:rFonts w:ascii="Times New Roman" w:hAnsi="Times New Roman"/>
          <w:sz w:val="24"/>
          <w:szCs w:val="24"/>
        </w:rPr>
        <w:t>охранение здания и имущества учреждения в нормативном состоянии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Приобретение имущества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Решение задачи 2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1 – Капитальный и текущий ремонт учреждения;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Проведение противопожарных мероприятий 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D71A55" w:rsidRPr="00D71A55">
        <w:rPr>
          <w:rFonts w:ascii="Times New Roman" w:hAnsi="Times New Roman"/>
          <w:sz w:val="24"/>
          <w:szCs w:val="24"/>
        </w:rPr>
        <w:t>3 640 089,00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2410"/>
        <w:gridCol w:w="1559"/>
        <w:gridCol w:w="1418"/>
      </w:tblGrid>
      <w:tr w:rsidR="00A8106A" w:rsidRPr="00184333" w:rsidTr="001231C1">
        <w:trPr>
          <w:trHeight w:val="1102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  <w:p w:rsidR="00A8106A" w:rsidRPr="00184333" w:rsidRDefault="00A8106A" w:rsidP="006936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A8106A" w:rsidRPr="00184333" w:rsidTr="001231C1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8106A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8106A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D71A55">
              <w:rPr>
                <w:rFonts w:ascii="Times New Roman" w:hAnsi="Times New Roman"/>
                <w:sz w:val="24"/>
                <w:szCs w:val="24"/>
              </w:rPr>
              <w:t>9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A" w:rsidRPr="00184333" w:rsidTr="001231C1">
        <w:trPr>
          <w:trHeight w:val="5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4F08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3 640 089,00</w:t>
            </w:r>
          </w:p>
        </w:tc>
      </w:tr>
      <w:tr w:rsidR="00A8106A" w:rsidRPr="00184333" w:rsidTr="00E178F2">
        <w:trPr>
          <w:trHeight w:val="3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8106A" w:rsidRPr="00184333" w:rsidTr="001231C1">
        <w:trPr>
          <w:trHeight w:val="2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A" w:rsidRPr="00184333" w:rsidRDefault="00A8106A" w:rsidP="006936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D71A55" w:rsidP="00D71A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3 640 089,00</w:t>
            </w:r>
          </w:p>
        </w:tc>
      </w:tr>
    </w:tbl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hAnsi="Times New Roman" w:cs="Times New Roman"/>
          <w:b/>
          <w:sz w:val="24"/>
          <w:szCs w:val="24"/>
        </w:rPr>
        <w:t>Подпрограмма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C5C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 территории для занятий воспитанников МУ «МСПЦ «Кировец» водными видами спорта</w:t>
      </w:r>
      <w:r w:rsidRPr="006C5C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A8106A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молодежи, занятой в МУ «МСПЦ «Кировец»</w:t>
      </w:r>
    </w:p>
    <w:p w:rsidR="00A8106A" w:rsidRPr="00E178F2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Доля материально – технической базы, нуждающейся в улучшении.</w:t>
      </w:r>
    </w:p>
    <w:p w:rsidR="00A8106A" w:rsidRPr="00E178F2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Количество объектов устроенных на территории</w:t>
      </w:r>
    </w:p>
    <w:p w:rsidR="00A8106A" w:rsidRPr="00E178F2" w:rsidRDefault="00A8106A" w:rsidP="00E178F2">
      <w:pPr>
        <w:pStyle w:val="a5"/>
        <w:tabs>
          <w:tab w:val="left" w:pos="7005"/>
        </w:tabs>
        <w:spacing w:after="0" w:line="240" w:lineRule="atLeast"/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E178F2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6C5CE0" w:rsidRDefault="00A8106A" w:rsidP="00676242">
      <w:pPr>
        <w:pStyle w:val="a9"/>
        <w:suppressAutoHyphens w:val="0"/>
        <w:spacing w:line="276" w:lineRule="auto"/>
        <w:ind w:right="-1"/>
        <w:rPr>
          <w:b/>
          <w:color w:val="000000"/>
          <w:sz w:val="24"/>
          <w:szCs w:val="24"/>
          <w:lang w:eastAsia="ru-RU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5E646F" w:rsidRDefault="00A8106A" w:rsidP="006762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7092">
        <w:rPr>
          <w:rFonts w:ascii="Times New Roman" w:hAnsi="Times New Roman"/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2</w:t>
      </w:r>
      <w:r w:rsidRPr="003E7092">
        <w:rPr>
          <w:rFonts w:ascii="Times New Roman" w:hAnsi="Times New Roman"/>
          <w:bCs/>
          <w:sz w:val="24"/>
          <w:szCs w:val="24"/>
        </w:rPr>
        <w:t>:</w:t>
      </w:r>
    </w:p>
    <w:p w:rsidR="00A8106A" w:rsidRDefault="00A8106A" w:rsidP="0067624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F07620" w:rsidRDefault="00A8106A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для занятий водными видами спорта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Cs/>
          <w:sz w:val="24"/>
          <w:szCs w:val="24"/>
        </w:rPr>
        <w:t>муниципальному учреждению«Молодёжный спортивно-патриотический центр «Кировец»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 составляет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/>
          <w:bCs/>
          <w:sz w:val="24"/>
          <w:szCs w:val="24"/>
        </w:rPr>
        <w:t>резе задач приведен в таблице 2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804"/>
        <w:gridCol w:w="1417"/>
      </w:tblGrid>
      <w:tr w:rsidR="00A8106A" w:rsidRPr="00184333" w:rsidTr="004F0840">
        <w:trPr>
          <w:trHeight w:val="273"/>
        </w:trPr>
        <w:tc>
          <w:tcPr>
            <w:tcW w:w="1526" w:type="dxa"/>
            <w:vMerge w:val="restart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Обустройство территории для занятий воспитанников МУ «МСПЦ «Кировец» водными видами спорта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8106A" w:rsidRPr="00184333" w:rsidTr="004F0840">
        <w:trPr>
          <w:trHeight w:val="764"/>
        </w:trPr>
        <w:tc>
          <w:tcPr>
            <w:tcW w:w="1526" w:type="dxa"/>
            <w:vMerge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  <w:r w:rsidRPr="005452B5">
              <w:rPr>
                <w:bCs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Обеспечение подготовки и выступления команд по водным видам спорта на соревнованиях различного уровня</w:t>
            </w:r>
            <w:r w:rsidRPr="0009000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D71A55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  <w:vAlign w:val="bottom"/>
          </w:tcPr>
          <w:p w:rsidR="00A8106A" w:rsidRPr="00184333" w:rsidRDefault="00A8106A" w:rsidP="004771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8106A" w:rsidRPr="00184333" w:rsidRDefault="00A8106A" w:rsidP="00E178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A8106A" w:rsidP="00D7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71A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</w:tcPr>
          <w:p w:rsidR="00A8106A" w:rsidRPr="00184333" w:rsidRDefault="00A8106A" w:rsidP="004771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E178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D71A55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</w:tcPr>
          <w:p w:rsidR="00A8106A" w:rsidRPr="00184333" w:rsidRDefault="00A8106A" w:rsidP="004771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E178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804" w:type="dxa"/>
          </w:tcPr>
          <w:p w:rsidR="00A8106A" w:rsidRPr="00627D44" w:rsidRDefault="00A8106A" w:rsidP="00123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627D44" w:rsidRDefault="00A8106A" w:rsidP="00E17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106A" w:rsidRPr="00237802" w:rsidRDefault="00A8106A" w:rsidP="00E846E2">
      <w:pPr>
        <w:pStyle w:val="a5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237802">
        <w:rPr>
          <w:rFonts w:ascii="Times New Roman" w:hAnsi="Times New Roman"/>
          <w:b/>
          <w:sz w:val="24"/>
          <w:szCs w:val="24"/>
        </w:rPr>
        <w:t>Раздел 5. Сроки реализации муниципальной программы.</w:t>
      </w:r>
    </w:p>
    <w:p w:rsidR="00A8106A" w:rsidRPr="00082A7F" w:rsidRDefault="00A8106A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 w:rsidRPr="00082A7F">
        <w:rPr>
          <w:rFonts w:ascii="Times New Roman" w:hAnsi="Times New Roman"/>
          <w:noProof/>
          <w:sz w:val="24"/>
          <w:szCs w:val="24"/>
        </w:rPr>
        <w:t>Сроки реализации Программы: 201</w:t>
      </w:r>
      <w:r w:rsidR="00D71A55">
        <w:rPr>
          <w:rFonts w:ascii="Times New Roman" w:hAnsi="Times New Roman"/>
          <w:noProof/>
          <w:sz w:val="24"/>
          <w:szCs w:val="24"/>
        </w:rPr>
        <w:t>7</w:t>
      </w:r>
      <w:r w:rsidRPr="00082A7F">
        <w:rPr>
          <w:rFonts w:ascii="Times New Roman" w:hAnsi="Times New Roman"/>
          <w:noProof/>
          <w:sz w:val="24"/>
          <w:szCs w:val="24"/>
        </w:rPr>
        <w:t>-201</w:t>
      </w:r>
      <w:r w:rsidR="00D71A55">
        <w:rPr>
          <w:rFonts w:ascii="Times New Roman" w:hAnsi="Times New Roman"/>
          <w:noProof/>
          <w:sz w:val="24"/>
          <w:szCs w:val="24"/>
        </w:rPr>
        <w:t>9</w:t>
      </w:r>
      <w:r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55225D">
        <w:rPr>
          <w:rFonts w:ascii="Times New Roman" w:hAnsi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>главой</w:t>
      </w:r>
      <w:r w:rsidRPr="0055225D">
        <w:rPr>
          <w:rFonts w:ascii="Times New Roman" w:hAnsi="Times New Roman"/>
          <w:sz w:val="24"/>
          <w:szCs w:val="24"/>
        </w:rPr>
        <w:t xml:space="preserve"> адми</w:t>
      </w:r>
      <w:r>
        <w:rPr>
          <w:rFonts w:ascii="Times New Roman" w:hAnsi="Times New Roman"/>
          <w:sz w:val="24"/>
          <w:szCs w:val="24"/>
        </w:rPr>
        <w:t>нистрации Весьегонского района.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Финансовый отдел адми</w:t>
      </w:r>
      <w:r>
        <w:rPr>
          <w:rFonts w:ascii="Times New Roman" w:hAnsi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lastRenderedPageBreak/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sz w:val="24"/>
          <w:szCs w:val="24"/>
        </w:rPr>
        <w:t>,</w:t>
      </w:r>
      <w:r w:rsidRPr="001D05CE">
        <w:rPr>
          <w:rFonts w:ascii="Times New Roman" w:hAnsi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  <w:proofErr w:type="gramEnd"/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D05CE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Раздел 8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A8106A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Pr="00AB159D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Default="00A8106A"/>
    <w:sectPr w:rsidR="00A8106A" w:rsidSect="00693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5201A"/>
    <w:rsid w:val="0005742A"/>
    <w:rsid w:val="0007689E"/>
    <w:rsid w:val="00082A7F"/>
    <w:rsid w:val="00090000"/>
    <w:rsid w:val="000961E6"/>
    <w:rsid w:val="000D2D71"/>
    <w:rsid w:val="001178AF"/>
    <w:rsid w:val="00120578"/>
    <w:rsid w:val="001231C1"/>
    <w:rsid w:val="00154B48"/>
    <w:rsid w:val="001568AA"/>
    <w:rsid w:val="00165AA8"/>
    <w:rsid w:val="00170E4E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3B92"/>
    <w:rsid w:val="00237802"/>
    <w:rsid w:val="0024422C"/>
    <w:rsid w:val="00264D00"/>
    <w:rsid w:val="00276B6B"/>
    <w:rsid w:val="00284C33"/>
    <w:rsid w:val="002908EA"/>
    <w:rsid w:val="002B6ED3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D7D45"/>
    <w:rsid w:val="003E6AB5"/>
    <w:rsid w:val="003E7092"/>
    <w:rsid w:val="0040331F"/>
    <w:rsid w:val="00416CE5"/>
    <w:rsid w:val="00432CDB"/>
    <w:rsid w:val="00435E24"/>
    <w:rsid w:val="00454E00"/>
    <w:rsid w:val="00461B5D"/>
    <w:rsid w:val="0047713C"/>
    <w:rsid w:val="004846B5"/>
    <w:rsid w:val="004B45EF"/>
    <w:rsid w:val="004E7C5D"/>
    <w:rsid w:val="004F0840"/>
    <w:rsid w:val="004F53C3"/>
    <w:rsid w:val="00500CED"/>
    <w:rsid w:val="00510E2F"/>
    <w:rsid w:val="00521B1E"/>
    <w:rsid w:val="00544A2C"/>
    <w:rsid w:val="005452B5"/>
    <w:rsid w:val="0055225D"/>
    <w:rsid w:val="0055695B"/>
    <w:rsid w:val="00560720"/>
    <w:rsid w:val="0057098A"/>
    <w:rsid w:val="0057156F"/>
    <w:rsid w:val="00590180"/>
    <w:rsid w:val="00593FBC"/>
    <w:rsid w:val="005A138A"/>
    <w:rsid w:val="005D4631"/>
    <w:rsid w:val="005E646F"/>
    <w:rsid w:val="005F0485"/>
    <w:rsid w:val="005F69D1"/>
    <w:rsid w:val="00606D8F"/>
    <w:rsid w:val="006270BC"/>
    <w:rsid w:val="00627D44"/>
    <w:rsid w:val="0066777F"/>
    <w:rsid w:val="00676242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84FE3"/>
    <w:rsid w:val="00787964"/>
    <w:rsid w:val="007963E0"/>
    <w:rsid w:val="007A433F"/>
    <w:rsid w:val="007D2403"/>
    <w:rsid w:val="007D2E7C"/>
    <w:rsid w:val="007E43F4"/>
    <w:rsid w:val="007F075B"/>
    <w:rsid w:val="008103F5"/>
    <w:rsid w:val="00810E4E"/>
    <w:rsid w:val="008228CF"/>
    <w:rsid w:val="00827D23"/>
    <w:rsid w:val="008661A2"/>
    <w:rsid w:val="008663E3"/>
    <w:rsid w:val="008A4A00"/>
    <w:rsid w:val="008A5DC3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42303"/>
    <w:rsid w:val="00A8106A"/>
    <w:rsid w:val="00AB159D"/>
    <w:rsid w:val="00AB32F8"/>
    <w:rsid w:val="00AB75FC"/>
    <w:rsid w:val="00AD757E"/>
    <w:rsid w:val="00AE3108"/>
    <w:rsid w:val="00AF70D3"/>
    <w:rsid w:val="00B03381"/>
    <w:rsid w:val="00B20A73"/>
    <w:rsid w:val="00B447C8"/>
    <w:rsid w:val="00B5371E"/>
    <w:rsid w:val="00B5415B"/>
    <w:rsid w:val="00B6032F"/>
    <w:rsid w:val="00B60BDC"/>
    <w:rsid w:val="00B7272E"/>
    <w:rsid w:val="00B73B65"/>
    <w:rsid w:val="00B81747"/>
    <w:rsid w:val="00BA786C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917B8"/>
    <w:rsid w:val="00CB59A2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825F1"/>
    <w:rsid w:val="00D92C8D"/>
    <w:rsid w:val="00DA4F0F"/>
    <w:rsid w:val="00DC489C"/>
    <w:rsid w:val="00DD6D31"/>
    <w:rsid w:val="00E13847"/>
    <w:rsid w:val="00E178F2"/>
    <w:rsid w:val="00E2635C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94271"/>
    <w:rsid w:val="00F95747"/>
    <w:rsid w:val="00F95758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56</cp:revision>
  <cp:lastPrinted>2016-12-29T08:38:00Z</cp:lastPrinted>
  <dcterms:created xsi:type="dcterms:W3CDTF">2013-09-09T19:57:00Z</dcterms:created>
  <dcterms:modified xsi:type="dcterms:W3CDTF">2016-12-29T08:41:00Z</dcterms:modified>
</cp:coreProperties>
</file>