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472" w:rsidRDefault="00213472" w:rsidP="00213472">
      <w:pPr>
        <w:jc w:val="right"/>
        <w:rPr>
          <w:rFonts w:ascii="Arial" w:hAnsi="Arial"/>
        </w:rPr>
      </w:pPr>
    </w:p>
    <w:p w:rsidR="007B72AF" w:rsidRDefault="007B72AF">
      <w:pPr>
        <w:jc w:val="center"/>
      </w:pPr>
    </w:p>
    <w:p w:rsidR="007B72AF" w:rsidRDefault="007B72AF">
      <w:pPr>
        <w:jc w:val="center"/>
      </w:pPr>
    </w:p>
    <w:p w:rsidR="007B72AF" w:rsidRDefault="007B72AF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7B72AF" w:rsidRDefault="007B72AF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B72AF" w:rsidRDefault="007B72AF">
      <w:pPr>
        <w:spacing w:before="12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РЕШЕНИЕ</w:t>
      </w:r>
    </w:p>
    <w:p w:rsidR="007B72AF" w:rsidRDefault="007B72AF">
      <w:pPr>
        <w:spacing w:before="120"/>
        <w:jc w:val="center"/>
      </w:pPr>
      <w:r>
        <w:t>г. Весьегонск</w:t>
      </w:r>
    </w:p>
    <w:p w:rsidR="007B72AF" w:rsidRDefault="000D3A25" w:rsidP="000D3A25">
      <w:pPr>
        <w:spacing w:before="120"/>
        <w:jc w:val="both"/>
      </w:pPr>
      <w:r>
        <w:t xml:space="preserve">         </w:t>
      </w:r>
      <w:r w:rsidR="004A3E4F">
        <w:t>«____» __________ 20</w:t>
      </w:r>
      <w:r w:rsidR="000049FA">
        <w:t>1</w:t>
      </w:r>
      <w:r w:rsidR="00484059">
        <w:t>1</w:t>
      </w:r>
      <w:r>
        <w:t xml:space="preserve">                                                                                               </w:t>
      </w:r>
      <w:r w:rsidR="004A3E4F">
        <w:t xml:space="preserve">  № ___</w:t>
      </w:r>
    </w:p>
    <w:tbl>
      <w:tblPr>
        <w:tblW w:w="0" w:type="auto"/>
        <w:tblLayout w:type="fixed"/>
        <w:tblLook w:val="0000"/>
      </w:tblPr>
      <w:tblGrid>
        <w:gridCol w:w="3888"/>
      </w:tblGrid>
      <w:tr w:rsidR="007B72AF">
        <w:tc>
          <w:tcPr>
            <w:tcW w:w="3888" w:type="dxa"/>
          </w:tcPr>
          <w:p w:rsidR="000D3A25" w:rsidRDefault="000D3A2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B72AF" w:rsidRDefault="007B72AF" w:rsidP="00AA1B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702064">
              <w:rPr>
                <w:sz w:val="22"/>
                <w:szCs w:val="22"/>
              </w:rPr>
              <w:t>краткосрочного</w:t>
            </w:r>
            <w:r>
              <w:rPr>
                <w:sz w:val="22"/>
                <w:szCs w:val="22"/>
              </w:rPr>
              <w:t xml:space="preserve">  прогноза социально-экономического развития Весьегонского района на 20</w:t>
            </w:r>
            <w:r w:rsidR="004A3E4F">
              <w:rPr>
                <w:sz w:val="22"/>
                <w:szCs w:val="22"/>
              </w:rPr>
              <w:t>1</w:t>
            </w:r>
            <w:r w:rsidR="00AA1B17">
              <w:rPr>
                <w:sz w:val="22"/>
                <w:szCs w:val="22"/>
              </w:rPr>
              <w:t>2</w:t>
            </w:r>
            <w:r w:rsidR="004A3E4F">
              <w:rPr>
                <w:sz w:val="22"/>
                <w:szCs w:val="22"/>
              </w:rPr>
              <w:t xml:space="preserve">  год и на период до 20</w:t>
            </w:r>
            <w:r w:rsidR="00132B78">
              <w:rPr>
                <w:sz w:val="22"/>
                <w:szCs w:val="22"/>
              </w:rPr>
              <w:t>1</w:t>
            </w:r>
            <w:r w:rsidR="00AA1B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7B72AF" w:rsidRDefault="007B72AF">
      <w:pPr>
        <w:jc w:val="center"/>
      </w:pPr>
    </w:p>
    <w:p w:rsidR="007B72AF" w:rsidRDefault="007B72AF">
      <w:pPr>
        <w:rPr>
          <w:sz w:val="22"/>
          <w:szCs w:val="22"/>
        </w:rPr>
      </w:pPr>
    </w:p>
    <w:p w:rsidR="007B72AF" w:rsidRDefault="007B72AF">
      <w:pPr>
        <w:jc w:val="both"/>
        <w:rPr>
          <w:sz w:val="22"/>
          <w:szCs w:val="22"/>
        </w:rPr>
      </w:pPr>
      <w:r>
        <w:rPr>
          <w:szCs w:val="22"/>
        </w:rPr>
        <w:t xml:space="preserve">         </w:t>
      </w:r>
      <w:r>
        <w:rPr>
          <w:sz w:val="22"/>
          <w:szCs w:val="22"/>
        </w:rPr>
        <w:t xml:space="preserve">  Рассмотрев представленный отделом</w:t>
      </w:r>
      <w:r w:rsidR="004A3E4F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экономик</w:t>
      </w:r>
      <w:r w:rsidR="004A3E4F">
        <w:rPr>
          <w:sz w:val="22"/>
          <w:szCs w:val="22"/>
        </w:rPr>
        <w:t>е</w:t>
      </w:r>
      <w:r>
        <w:rPr>
          <w:sz w:val="22"/>
          <w:szCs w:val="22"/>
        </w:rPr>
        <w:t xml:space="preserve"> и защит</w:t>
      </w:r>
      <w:r w:rsidR="004A3E4F">
        <w:rPr>
          <w:sz w:val="22"/>
          <w:szCs w:val="22"/>
        </w:rPr>
        <w:t>е</w:t>
      </w:r>
      <w:r>
        <w:rPr>
          <w:sz w:val="22"/>
          <w:szCs w:val="22"/>
        </w:rPr>
        <w:t xml:space="preserve"> прав потребителей администрации Весьегонского района краткосрочный прогноз социально-экономического развития  Весьегонского  </w:t>
      </w:r>
      <w:r w:rsidR="00463F3F">
        <w:rPr>
          <w:sz w:val="22"/>
          <w:szCs w:val="22"/>
        </w:rPr>
        <w:t>района на 20</w:t>
      </w:r>
      <w:r w:rsidR="004A3E4F">
        <w:rPr>
          <w:sz w:val="22"/>
          <w:szCs w:val="22"/>
        </w:rPr>
        <w:t>1</w:t>
      </w:r>
      <w:r w:rsidR="00AA1B17">
        <w:rPr>
          <w:sz w:val="22"/>
          <w:szCs w:val="22"/>
        </w:rPr>
        <w:t>2 год и на период до 2014</w:t>
      </w:r>
      <w:r>
        <w:rPr>
          <w:sz w:val="22"/>
          <w:szCs w:val="22"/>
        </w:rPr>
        <w:t xml:space="preserve"> года  </w:t>
      </w:r>
    </w:p>
    <w:p w:rsidR="007B72AF" w:rsidRDefault="007B72AF">
      <w:pPr>
        <w:jc w:val="both"/>
        <w:rPr>
          <w:sz w:val="22"/>
          <w:szCs w:val="22"/>
        </w:rPr>
      </w:pPr>
    </w:p>
    <w:p w:rsidR="007B72AF" w:rsidRDefault="007B72A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Весьегонского района </w:t>
      </w:r>
      <w:r>
        <w:rPr>
          <w:b/>
          <w:sz w:val="22"/>
          <w:szCs w:val="22"/>
        </w:rPr>
        <w:t>решило</w:t>
      </w:r>
      <w:r>
        <w:rPr>
          <w:sz w:val="22"/>
          <w:szCs w:val="22"/>
        </w:rPr>
        <w:t>:</w:t>
      </w:r>
    </w:p>
    <w:p w:rsidR="007B72AF" w:rsidRDefault="007B72AF">
      <w:pPr>
        <w:rPr>
          <w:sz w:val="22"/>
          <w:szCs w:val="22"/>
        </w:rPr>
      </w:pPr>
    </w:p>
    <w:p w:rsidR="007B72AF" w:rsidRDefault="007B72AF" w:rsidP="00227479">
      <w:pPr>
        <w:numPr>
          <w:ilvl w:val="0"/>
          <w:numId w:val="9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r w:rsidR="00702064">
        <w:rPr>
          <w:sz w:val="22"/>
          <w:szCs w:val="22"/>
        </w:rPr>
        <w:t>краткосрочный</w:t>
      </w:r>
      <w:r w:rsidR="000049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прогноз социально-экономического развития  Весьегонского района на 20</w:t>
      </w:r>
      <w:r w:rsidR="004A3E4F">
        <w:rPr>
          <w:sz w:val="22"/>
          <w:szCs w:val="22"/>
        </w:rPr>
        <w:t>1</w:t>
      </w:r>
      <w:r w:rsidR="00AA1B17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период до </w:t>
      </w:r>
      <w:r w:rsidR="004A3E4F">
        <w:rPr>
          <w:sz w:val="22"/>
          <w:szCs w:val="22"/>
        </w:rPr>
        <w:t>2</w:t>
      </w:r>
      <w:r>
        <w:rPr>
          <w:sz w:val="22"/>
          <w:szCs w:val="22"/>
        </w:rPr>
        <w:t>01</w:t>
      </w:r>
      <w:r w:rsidR="00AA1B17">
        <w:rPr>
          <w:sz w:val="22"/>
          <w:szCs w:val="22"/>
        </w:rPr>
        <w:t>4</w:t>
      </w:r>
      <w:r>
        <w:rPr>
          <w:sz w:val="22"/>
          <w:szCs w:val="22"/>
        </w:rPr>
        <w:t xml:space="preserve"> года. </w:t>
      </w:r>
      <w:r w:rsidR="00DA1B87">
        <w:rPr>
          <w:sz w:val="22"/>
          <w:szCs w:val="22"/>
        </w:rPr>
        <w:t>(Приложение</w:t>
      </w:r>
      <w:r>
        <w:rPr>
          <w:sz w:val="22"/>
          <w:szCs w:val="22"/>
        </w:rPr>
        <w:t>).</w:t>
      </w: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2747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возложить на постоянную комиссию Собрания депутатов Весьегонского района по бюджету, экономике и аграрной политике (председатель Терехин В.Н.). </w:t>
      </w: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0049FA" w:rsidP="000049FA">
      <w:pPr>
        <w:ind w:left="900" w:hanging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B72AF">
        <w:rPr>
          <w:sz w:val="22"/>
          <w:szCs w:val="22"/>
        </w:rPr>
        <w:t>Настоящее решение опубликовать в газете «Весьегонская жизнь».</w:t>
      </w:r>
    </w:p>
    <w:p w:rsidR="000049FA" w:rsidRDefault="000049FA" w:rsidP="000049FA">
      <w:pPr>
        <w:ind w:left="900"/>
        <w:jc w:val="both"/>
        <w:rPr>
          <w:sz w:val="22"/>
          <w:szCs w:val="22"/>
        </w:rPr>
      </w:pPr>
    </w:p>
    <w:p w:rsidR="000049FA" w:rsidRDefault="000049FA" w:rsidP="000049FA">
      <w:pPr>
        <w:ind w:left="583"/>
        <w:jc w:val="both"/>
        <w:rPr>
          <w:sz w:val="22"/>
          <w:szCs w:val="22"/>
        </w:rPr>
      </w:pPr>
      <w:r>
        <w:rPr>
          <w:sz w:val="22"/>
          <w:szCs w:val="22"/>
        </w:rPr>
        <w:t>4.Настоящее решение вступает в силу со дня его принятия</w:t>
      </w: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  <w:lang w:val="ru-RU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Глава района                                                                    </w:t>
      </w:r>
      <w:r w:rsidR="004A3E4F">
        <w:rPr>
          <w:sz w:val="22"/>
          <w:szCs w:val="22"/>
        </w:rPr>
        <w:t>А.В. Пашуков</w:t>
      </w: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02064" w:rsidRDefault="00702064" w:rsidP="00702064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702064" w:rsidRPr="00E078DE" w:rsidTr="00776691">
        <w:tc>
          <w:tcPr>
            <w:tcW w:w="5245" w:type="dxa"/>
          </w:tcPr>
          <w:p w:rsidR="00702064" w:rsidRDefault="00702064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  <w:p w:rsidR="00DD60A6" w:rsidRPr="00E078DE" w:rsidRDefault="00DD60A6" w:rsidP="00776691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4536" w:type="dxa"/>
          </w:tcPr>
          <w:p w:rsidR="00702064" w:rsidRPr="00E078DE" w:rsidRDefault="00702064" w:rsidP="00776691">
            <w:pPr>
              <w:jc w:val="right"/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</w:tr>
    </w:tbl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255BF5" w:rsidRDefault="00255BF5">
      <w:pPr>
        <w:ind w:firstLine="540"/>
        <w:jc w:val="both"/>
        <w:rPr>
          <w:sz w:val="22"/>
          <w:szCs w:val="22"/>
        </w:rPr>
      </w:pPr>
    </w:p>
    <w:p w:rsidR="00ED7875" w:rsidRDefault="00ED7875">
      <w:pPr>
        <w:ind w:firstLine="540"/>
        <w:jc w:val="both"/>
        <w:rPr>
          <w:sz w:val="22"/>
          <w:szCs w:val="22"/>
        </w:rPr>
      </w:pPr>
    </w:p>
    <w:p w:rsidR="00ED7875" w:rsidRDefault="00ED7875">
      <w:pPr>
        <w:ind w:firstLine="540"/>
        <w:jc w:val="both"/>
        <w:rPr>
          <w:sz w:val="22"/>
          <w:szCs w:val="22"/>
        </w:rPr>
      </w:pPr>
    </w:p>
    <w:p w:rsidR="0059611E" w:rsidRDefault="0059611E" w:rsidP="0059611E">
      <w:pPr>
        <w:shd w:val="clear" w:color="auto" w:fill="FFFFFF"/>
        <w:spacing w:line="322" w:lineRule="exact"/>
        <w:ind w:right="538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DD60A6" w:rsidRPr="00C10185" w:rsidRDefault="00DD60A6" w:rsidP="0059611E">
      <w:pPr>
        <w:shd w:val="clear" w:color="auto" w:fill="FFFFFF"/>
        <w:spacing w:line="322" w:lineRule="exact"/>
        <w:ind w:right="538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59611E" w:rsidRPr="003A2BAD" w:rsidRDefault="0059611E" w:rsidP="003A2BAD">
      <w:pPr>
        <w:shd w:val="clear" w:color="auto" w:fill="FFFFFF"/>
        <w:ind w:right="538"/>
        <w:jc w:val="center"/>
        <w:rPr>
          <w:b/>
          <w:bCs/>
          <w:color w:val="000000"/>
          <w:spacing w:val="-4"/>
        </w:rPr>
      </w:pPr>
      <w:r w:rsidRPr="003A2BAD">
        <w:rPr>
          <w:b/>
          <w:bCs/>
          <w:color w:val="000000"/>
          <w:spacing w:val="-7"/>
        </w:rPr>
        <w:t>Пояснительная записка к краткосрочному прогнозу социально-</w:t>
      </w:r>
      <w:r w:rsidRPr="003A2BAD">
        <w:rPr>
          <w:b/>
          <w:bCs/>
          <w:color w:val="000000"/>
          <w:spacing w:val="-4"/>
        </w:rPr>
        <w:t>экономического развития района на 20</w:t>
      </w:r>
      <w:r w:rsidR="004F1031" w:rsidRPr="003A2BAD">
        <w:rPr>
          <w:b/>
          <w:bCs/>
          <w:color w:val="000000"/>
          <w:spacing w:val="-4"/>
        </w:rPr>
        <w:t>1</w:t>
      </w:r>
      <w:r w:rsidR="00484059">
        <w:rPr>
          <w:b/>
          <w:bCs/>
          <w:color w:val="000000"/>
          <w:spacing w:val="-4"/>
        </w:rPr>
        <w:t>2</w:t>
      </w:r>
      <w:r w:rsidRPr="003A2BAD">
        <w:rPr>
          <w:b/>
          <w:bCs/>
          <w:color w:val="000000"/>
          <w:spacing w:val="-4"/>
        </w:rPr>
        <w:t xml:space="preserve"> год и  на период до 201</w:t>
      </w:r>
      <w:r w:rsidR="00484059">
        <w:rPr>
          <w:b/>
          <w:bCs/>
          <w:color w:val="000000"/>
          <w:spacing w:val="-4"/>
        </w:rPr>
        <w:t>4</w:t>
      </w:r>
      <w:r w:rsidRPr="003A2BAD">
        <w:rPr>
          <w:b/>
          <w:bCs/>
          <w:color w:val="000000"/>
          <w:spacing w:val="-4"/>
        </w:rPr>
        <w:t xml:space="preserve"> года.</w:t>
      </w:r>
    </w:p>
    <w:p w:rsidR="0059611E" w:rsidRPr="003A2BAD" w:rsidRDefault="0059611E" w:rsidP="003A2BAD">
      <w:pPr>
        <w:shd w:val="clear" w:color="auto" w:fill="FFFFFF"/>
        <w:ind w:right="538"/>
        <w:jc w:val="center"/>
        <w:rPr>
          <w:color w:val="000000"/>
          <w:spacing w:val="-4"/>
        </w:rPr>
      </w:pPr>
    </w:p>
    <w:p w:rsidR="0059611E" w:rsidRPr="003A2BAD" w:rsidRDefault="0059611E" w:rsidP="003A2BAD">
      <w:pPr>
        <w:shd w:val="clear" w:color="auto" w:fill="FFFFFF"/>
        <w:ind w:right="-2" w:firstLine="851"/>
        <w:jc w:val="both"/>
      </w:pPr>
      <w:r w:rsidRPr="003A2BAD">
        <w:rPr>
          <w:color w:val="000000"/>
          <w:spacing w:val="-1"/>
        </w:rPr>
        <w:t>Краткосрочный план развития района на 20</w:t>
      </w:r>
      <w:r w:rsidR="004F1031" w:rsidRPr="003A2BAD">
        <w:rPr>
          <w:color w:val="000000"/>
          <w:spacing w:val="-1"/>
        </w:rPr>
        <w:t>1</w:t>
      </w:r>
      <w:r w:rsidR="00484059">
        <w:rPr>
          <w:color w:val="000000"/>
          <w:spacing w:val="-1"/>
        </w:rPr>
        <w:t>2</w:t>
      </w:r>
      <w:r w:rsidRPr="003A2BAD">
        <w:rPr>
          <w:color w:val="000000"/>
          <w:spacing w:val="-1"/>
        </w:rPr>
        <w:t xml:space="preserve"> год и на период до 201</w:t>
      </w:r>
      <w:r w:rsidR="00484059">
        <w:rPr>
          <w:color w:val="000000"/>
          <w:spacing w:val="-1"/>
        </w:rPr>
        <w:t>4</w:t>
      </w:r>
      <w:r w:rsidRPr="003A2BAD">
        <w:rPr>
          <w:color w:val="000000"/>
          <w:spacing w:val="-1"/>
        </w:rPr>
        <w:t xml:space="preserve"> года  осуществлялась в два этапа</w:t>
      </w:r>
      <w:r w:rsidR="003A2BAD" w:rsidRPr="003A2BAD">
        <w:rPr>
          <w:color w:val="000000"/>
          <w:spacing w:val="-1"/>
        </w:rPr>
        <w:t>:</w:t>
      </w:r>
      <w:r w:rsidRPr="003A2BAD">
        <w:rPr>
          <w:color w:val="000000"/>
          <w:spacing w:val="-1"/>
        </w:rPr>
        <w:t xml:space="preserve"> первый этап в мае, второй в июне с учетом </w:t>
      </w:r>
      <w:r w:rsidRPr="003A2BAD">
        <w:rPr>
          <w:color w:val="000000"/>
          <w:spacing w:val="-3"/>
        </w:rPr>
        <w:t>фактических результатов 20</w:t>
      </w:r>
      <w:r w:rsidR="00484059">
        <w:rPr>
          <w:color w:val="000000"/>
          <w:spacing w:val="-3"/>
        </w:rPr>
        <w:t>1</w:t>
      </w:r>
      <w:r w:rsidRPr="003A2BAD">
        <w:rPr>
          <w:color w:val="000000"/>
          <w:spacing w:val="-3"/>
        </w:rPr>
        <w:t xml:space="preserve">0 года, а также </w:t>
      </w:r>
      <w:r w:rsidRPr="003A2BAD">
        <w:rPr>
          <w:color w:val="000000"/>
          <w:spacing w:val="-6"/>
        </w:rPr>
        <w:t>уточненных сценарных условий функционирования экономики и индексов-</w:t>
      </w:r>
      <w:r w:rsidRPr="003A2BAD">
        <w:rPr>
          <w:color w:val="000000"/>
          <w:spacing w:val="-4"/>
        </w:rPr>
        <w:t>дефляторов цен, разработанных Минэкономразвития России.</w:t>
      </w:r>
    </w:p>
    <w:p w:rsidR="0059611E" w:rsidRPr="003A2BAD" w:rsidRDefault="0059611E" w:rsidP="003A2BAD">
      <w:pPr>
        <w:shd w:val="clear" w:color="auto" w:fill="FFFFFF"/>
        <w:ind w:right="19" w:firstLine="851"/>
        <w:jc w:val="both"/>
      </w:pPr>
      <w:r w:rsidRPr="003A2BAD">
        <w:rPr>
          <w:color w:val="000000"/>
          <w:spacing w:val="-4"/>
        </w:rPr>
        <w:t xml:space="preserve">Прогнозные показатели составлены на основе данных представляемых </w:t>
      </w:r>
      <w:r w:rsidRPr="003A2BAD">
        <w:rPr>
          <w:color w:val="000000"/>
          <w:spacing w:val="-6"/>
        </w:rPr>
        <w:t xml:space="preserve">промышленными и сельскохозяйственными предприятиями, организациями </w:t>
      </w:r>
      <w:r w:rsidRPr="003A2BAD">
        <w:rPr>
          <w:color w:val="000000"/>
          <w:spacing w:val="-5"/>
        </w:rPr>
        <w:t xml:space="preserve">социальной сферы, информации, полученной от территориальных структур </w:t>
      </w:r>
      <w:r w:rsidRPr="003A2BAD">
        <w:rPr>
          <w:color w:val="000000"/>
          <w:spacing w:val="-4"/>
        </w:rPr>
        <w:t xml:space="preserve">федеральных органов исполнительной власти. </w:t>
      </w:r>
    </w:p>
    <w:p w:rsidR="003A2BAD" w:rsidRPr="003A2BAD" w:rsidRDefault="003A2BAD" w:rsidP="003A2BAD">
      <w:pPr>
        <w:shd w:val="clear" w:color="auto" w:fill="FFFFFF"/>
        <w:ind w:left="374" w:right="3318" w:firstLine="851"/>
        <w:rPr>
          <w:b/>
          <w:color w:val="000000"/>
          <w:spacing w:val="-6"/>
        </w:rPr>
      </w:pPr>
    </w:p>
    <w:p w:rsidR="00484059" w:rsidRPr="00484059" w:rsidRDefault="00484059" w:rsidP="00484059">
      <w:pPr>
        <w:ind w:firstLine="567"/>
        <w:jc w:val="both"/>
      </w:pPr>
      <w:r w:rsidRPr="00484059">
        <w:t xml:space="preserve">В 2010 году в районе постоянно проживало 13,5 тыс. чел, в том числе 2,4 тыс. чел. детей, 4,8 тыс. чел. пенсионеров.  Трудоспособное население района составляло  6,1 тыс. чел,  в экономике занято 4,75 тыс. чел. </w:t>
      </w:r>
    </w:p>
    <w:p w:rsidR="00484059" w:rsidRPr="00484059" w:rsidRDefault="00484059" w:rsidP="00484059">
      <w:pPr>
        <w:ind w:firstLine="567"/>
        <w:jc w:val="both"/>
      </w:pPr>
      <w:r w:rsidRPr="00484059">
        <w:t>В районе продолжается тенденция  к снижению количества постоянного населения, так в 2009 году население района составляло 13,7 тыс. человек, в 2008 году – 13,9 тыс</w:t>
      </w:r>
      <w:proofErr w:type="gramStart"/>
      <w:r w:rsidRPr="00484059">
        <w:t>.ч</w:t>
      </w:r>
      <w:proofErr w:type="gramEnd"/>
      <w:r w:rsidRPr="00484059">
        <w:t>ел, что составило 97,0 % к соответствующему периоду прошлого года, в 2011 году так же планируется снижение на 1,85% к аналогичному периоду предыдущего года.  Уменьшение населения происходит из-за иммиграции населения в другие города и области (г. Москва, г. Тверь, г. С.Петербург, Московская и Ленинградская области), смертность составила в 2009 году 2,7 % к общему количеству населения, а рождаемость всего 0,7 %. Фактическая численность детей за 2010 год 2,4 тысячи человек, в том числе 0,2 тыс</w:t>
      </w:r>
      <w:proofErr w:type="gramStart"/>
      <w:r w:rsidRPr="00484059">
        <w:t>.ч</w:t>
      </w:r>
      <w:proofErr w:type="gramEnd"/>
      <w:r w:rsidRPr="00484059">
        <w:t xml:space="preserve">еловек это дети одиноких родителей.  </w:t>
      </w:r>
    </w:p>
    <w:p w:rsidR="00484059" w:rsidRPr="00484059" w:rsidRDefault="00484059" w:rsidP="00484059">
      <w:pPr>
        <w:tabs>
          <w:tab w:val="left" w:pos="1140"/>
        </w:tabs>
        <w:ind w:firstLine="567"/>
        <w:jc w:val="both"/>
      </w:pPr>
      <w:r w:rsidRPr="00484059">
        <w:tab/>
        <w:t>При расчете фонда оплаты труда использованы статистические данные по области и Весьегонскому району и  среднестатистические темпы роста  к предыдущему году. Численность сельского населения также снижается 2009 год - 6,2 тыс. чел., 2010  -  6,1 тыс. человек.</w:t>
      </w:r>
    </w:p>
    <w:p w:rsidR="00484059" w:rsidRPr="00484059" w:rsidRDefault="00484059" w:rsidP="00484059">
      <w:pPr>
        <w:shd w:val="clear" w:color="auto" w:fill="FFFFFF"/>
        <w:ind w:firstLine="567"/>
        <w:jc w:val="both"/>
        <w:rPr>
          <w:bCs/>
          <w:color w:val="000000"/>
          <w:spacing w:val="2"/>
          <w:u w:val="single"/>
        </w:rPr>
      </w:pPr>
    </w:p>
    <w:p w:rsidR="00484059" w:rsidRPr="00484059" w:rsidRDefault="00484059" w:rsidP="00484059">
      <w:pPr>
        <w:shd w:val="clear" w:color="auto" w:fill="FFFFFF"/>
        <w:ind w:firstLine="567"/>
        <w:jc w:val="both"/>
        <w:rPr>
          <w:bCs/>
          <w:color w:val="000000"/>
          <w:spacing w:val="2"/>
        </w:rPr>
      </w:pPr>
      <w:r w:rsidRPr="00484059">
        <w:rPr>
          <w:bCs/>
          <w:color w:val="000000"/>
          <w:spacing w:val="2"/>
        </w:rPr>
        <w:t>Промышленность:</w:t>
      </w:r>
    </w:p>
    <w:p w:rsidR="00484059" w:rsidRPr="00484059" w:rsidRDefault="00484059" w:rsidP="00484059">
      <w:pPr>
        <w:ind w:firstLine="851"/>
        <w:jc w:val="both"/>
        <w:rPr>
          <w:b/>
        </w:rPr>
      </w:pPr>
      <w:r w:rsidRPr="00484059">
        <w:rPr>
          <w:b/>
        </w:rPr>
        <w:t>ГУП «Весьегонский межрайонный лесхоз»</w:t>
      </w:r>
    </w:p>
    <w:p w:rsidR="00484059" w:rsidRPr="00484059" w:rsidRDefault="00484059" w:rsidP="00484059">
      <w:pPr>
        <w:ind w:firstLine="851"/>
        <w:jc w:val="both"/>
      </w:pPr>
      <w:r w:rsidRPr="00484059">
        <w:t xml:space="preserve">ГУП «Весьегонский межрайонный лесхоз» образован 28 декабря 2008 года. Директор ГУП «Весьегонский межрайонный лесхоз» – </w:t>
      </w:r>
      <w:proofErr w:type="spellStart"/>
      <w:r w:rsidRPr="00484059">
        <w:t>Фумина</w:t>
      </w:r>
      <w:proofErr w:type="spellEnd"/>
      <w:r w:rsidRPr="00484059">
        <w:t xml:space="preserve"> Нина Петровна.</w:t>
      </w:r>
    </w:p>
    <w:p w:rsidR="00484059" w:rsidRPr="00484059" w:rsidRDefault="00484059" w:rsidP="00484059">
      <w:pPr>
        <w:ind w:firstLine="851"/>
        <w:jc w:val="both"/>
      </w:pPr>
      <w:r w:rsidRPr="00484059">
        <w:t>Деятельностью организации является посадка леса, уход за посадками, охрана лесов от пожаров и незаконных рубок, а так же заготовкой древесины, ее переработкой и сбытом.</w:t>
      </w:r>
    </w:p>
    <w:p w:rsidR="00484059" w:rsidRPr="00484059" w:rsidRDefault="00484059" w:rsidP="00484059">
      <w:pPr>
        <w:ind w:firstLine="851"/>
        <w:jc w:val="both"/>
      </w:pPr>
      <w:r w:rsidRPr="00484059">
        <w:t xml:space="preserve">Среднесписочная численность </w:t>
      </w:r>
      <w:proofErr w:type="gramStart"/>
      <w:r w:rsidRPr="00484059">
        <w:t>работающих</w:t>
      </w:r>
      <w:proofErr w:type="gramEnd"/>
      <w:r w:rsidRPr="00484059">
        <w:t xml:space="preserve"> – 82 человека.</w:t>
      </w:r>
    </w:p>
    <w:p w:rsidR="00484059" w:rsidRPr="00484059" w:rsidRDefault="00484059" w:rsidP="00484059">
      <w:pPr>
        <w:ind w:firstLine="851"/>
        <w:jc w:val="both"/>
      </w:pPr>
      <w:r w:rsidRPr="00484059">
        <w:t>Продукцию отгружают в основном вагонами и автомобильным транспортом в регионы России, а именно: Москва, Московская область, Ярославль, Тверь и область. Один раз в месяц экспортируется в Эстонию.</w:t>
      </w:r>
    </w:p>
    <w:p w:rsidR="00484059" w:rsidRPr="00484059" w:rsidRDefault="00484059" w:rsidP="00484059">
      <w:pPr>
        <w:ind w:firstLine="851"/>
        <w:jc w:val="both"/>
      </w:pPr>
    </w:p>
    <w:p w:rsidR="00484059" w:rsidRPr="00484059" w:rsidRDefault="00484059" w:rsidP="00484059">
      <w:pPr>
        <w:ind w:firstLine="851"/>
        <w:jc w:val="both"/>
        <w:rPr>
          <w:b/>
        </w:rPr>
      </w:pPr>
      <w:r w:rsidRPr="00484059">
        <w:rPr>
          <w:b/>
        </w:rPr>
        <w:t>ОАО «Весьегонский винзавод»</w:t>
      </w:r>
    </w:p>
    <w:p w:rsidR="00484059" w:rsidRPr="00484059" w:rsidRDefault="00484059" w:rsidP="00484059">
      <w:pPr>
        <w:ind w:firstLine="851"/>
        <w:jc w:val="both"/>
      </w:pPr>
      <w:r w:rsidRPr="00484059">
        <w:t>Директор ОАО «Весьегонский винзавод» - Соколова Людмила Николаевна.</w:t>
      </w:r>
    </w:p>
    <w:p w:rsidR="00484059" w:rsidRPr="00484059" w:rsidRDefault="00484059" w:rsidP="00484059">
      <w:pPr>
        <w:ind w:firstLine="851"/>
        <w:jc w:val="both"/>
      </w:pPr>
      <w:r w:rsidRPr="00484059">
        <w:t>ОАО «</w:t>
      </w:r>
      <w:proofErr w:type="gramStart"/>
      <w:r w:rsidRPr="00484059">
        <w:t>Весьегонский</w:t>
      </w:r>
      <w:proofErr w:type="gramEnd"/>
      <w:r w:rsidRPr="00484059">
        <w:t xml:space="preserve"> винзавод» производит натуральные и плодовые вина. В 2008 году была завершена реконструкция линий по производству вин. За 2010 год объем производства составил: вина столовые – 36,56 тыс. декалитров (что на 10,7 % меньше к прошлому году).</w:t>
      </w:r>
    </w:p>
    <w:p w:rsidR="00484059" w:rsidRPr="00484059" w:rsidRDefault="00484059" w:rsidP="00484059">
      <w:pPr>
        <w:ind w:firstLine="851"/>
        <w:jc w:val="both"/>
      </w:pPr>
      <w:r w:rsidRPr="00484059">
        <w:t>В 2011 году планируется выпустить 40 тыс. декалитров вин. Выпуск продукции предприятием на 2011-2014 г.г. прогнозируется в количестве 160 тыс. декалитров.</w:t>
      </w:r>
    </w:p>
    <w:p w:rsidR="00484059" w:rsidRPr="00484059" w:rsidRDefault="00484059" w:rsidP="00484059">
      <w:pPr>
        <w:ind w:firstLine="709"/>
        <w:jc w:val="both"/>
      </w:pPr>
      <w:r w:rsidRPr="00484059">
        <w:t>Потребители продукции завода – 31 регион РФ. Ассортимент продаж – 17 наименований прекрасных полусухих, полусладких вин с небольшим содержанием крепости и сахара. С 2012 года планируется увеличить ассортимент плодовых вин.</w:t>
      </w:r>
    </w:p>
    <w:p w:rsidR="00484059" w:rsidRPr="00484059" w:rsidRDefault="00484059" w:rsidP="00484059">
      <w:pPr>
        <w:ind w:firstLine="709"/>
        <w:jc w:val="both"/>
      </w:pPr>
      <w:r w:rsidRPr="00484059">
        <w:t>В 2008 году на заводе возобновили работу с местным сырьем. Закуплено значительное количество клюквы, и уже появилось в продаже знаменитое весьегонское клюквенное вино в эксклюзивных итальянских бутылках.</w:t>
      </w:r>
    </w:p>
    <w:p w:rsidR="00484059" w:rsidRPr="00484059" w:rsidRDefault="00484059" w:rsidP="00484059">
      <w:pPr>
        <w:ind w:firstLine="851"/>
        <w:jc w:val="both"/>
      </w:pPr>
      <w:r w:rsidRPr="00484059">
        <w:t>На 01.01.2011 на предприятии работало 133 человека.</w:t>
      </w:r>
    </w:p>
    <w:p w:rsidR="00484059" w:rsidRPr="00484059" w:rsidRDefault="00484059" w:rsidP="00484059">
      <w:pPr>
        <w:ind w:firstLine="851"/>
        <w:jc w:val="both"/>
      </w:pPr>
    </w:p>
    <w:p w:rsidR="00484059" w:rsidRPr="00484059" w:rsidRDefault="00484059" w:rsidP="00484059">
      <w:pPr>
        <w:ind w:firstLine="851"/>
        <w:jc w:val="both"/>
        <w:rPr>
          <w:b/>
        </w:rPr>
      </w:pPr>
      <w:r w:rsidRPr="00484059">
        <w:rPr>
          <w:b/>
        </w:rPr>
        <w:t>АНО Редакция газеты «Весьегонская Жизнь»</w:t>
      </w:r>
    </w:p>
    <w:p w:rsidR="00484059" w:rsidRPr="00484059" w:rsidRDefault="00484059" w:rsidP="00484059">
      <w:pPr>
        <w:ind w:firstLine="851"/>
        <w:jc w:val="both"/>
      </w:pPr>
      <w:r w:rsidRPr="00484059">
        <w:t>Главный редактор газеты - Кондрашов Александр Иванович.</w:t>
      </w:r>
    </w:p>
    <w:p w:rsidR="00484059" w:rsidRPr="00484059" w:rsidRDefault="00484059" w:rsidP="00484059">
      <w:pPr>
        <w:ind w:firstLine="851"/>
        <w:jc w:val="both"/>
      </w:pPr>
      <w:r w:rsidRPr="00484059">
        <w:t xml:space="preserve">Газета печатается в </w:t>
      </w:r>
      <w:proofErr w:type="spellStart"/>
      <w:r w:rsidRPr="00484059">
        <w:t>Бежецкой</w:t>
      </w:r>
      <w:proofErr w:type="spellEnd"/>
      <w:r w:rsidRPr="00484059">
        <w:t xml:space="preserve"> редакции. В 2010 году было напечатано 120 тыс. экземпляров. Газета выходит в тираж один раз в неделю. В 2011-2014 г.г. увеличение тиража не планируется.</w:t>
      </w:r>
    </w:p>
    <w:p w:rsidR="00484059" w:rsidRPr="00484059" w:rsidRDefault="00484059" w:rsidP="00484059">
      <w:pPr>
        <w:ind w:firstLine="851"/>
        <w:jc w:val="both"/>
        <w:rPr>
          <w:b/>
        </w:rPr>
      </w:pPr>
    </w:p>
    <w:p w:rsidR="00484059" w:rsidRPr="00484059" w:rsidRDefault="00484059" w:rsidP="00484059">
      <w:pPr>
        <w:ind w:firstLine="851"/>
        <w:jc w:val="both"/>
        <w:rPr>
          <w:b/>
        </w:rPr>
      </w:pPr>
      <w:r w:rsidRPr="00484059">
        <w:rPr>
          <w:b/>
        </w:rPr>
        <w:t>ООО «</w:t>
      </w:r>
      <w:proofErr w:type="gramStart"/>
      <w:r w:rsidRPr="00484059">
        <w:rPr>
          <w:b/>
        </w:rPr>
        <w:t>Весьегонский</w:t>
      </w:r>
      <w:proofErr w:type="gramEnd"/>
      <w:r w:rsidRPr="00484059">
        <w:rPr>
          <w:b/>
        </w:rPr>
        <w:t xml:space="preserve"> энергоремонт»</w:t>
      </w:r>
    </w:p>
    <w:p w:rsidR="00484059" w:rsidRPr="00484059" w:rsidRDefault="00484059" w:rsidP="00484059">
      <w:pPr>
        <w:ind w:firstLine="851"/>
        <w:jc w:val="both"/>
      </w:pPr>
      <w:r w:rsidRPr="00484059">
        <w:t>Образовано 02 ноября 2006 года. Среднесписочная численность работающих – 145 человек.</w:t>
      </w:r>
    </w:p>
    <w:p w:rsidR="00484059" w:rsidRPr="00484059" w:rsidRDefault="00484059" w:rsidP="00484059">
      <w:pPr>
        <w:ind w:firstLine="851"/>
        <w:jc w:val="both"/>
      </w:pPr>
      <w:r w:rsidRPr="00484059">
        <w:t>Директор ООО «Весьегонский энергоремонт» - Биленко Сергей Анатольевич.</w:t>
      </w:r>
    </w:p>
    <w:p w:rsidR="00484059" w:rsidRPr="00484059" w:rsidRDefault="00484059" w:rsidP="00484059">
      <w:pPr>
        <w:ind w:firstLine="851"/>
        <w:jc w:val="both"/>
      </w:pPr>
      <w:r w:rsidRPr="00484059">
        <w:t xml:space="preserve">Деятельностью организации является выработка </w:t>
      </w:r>
      <w:proofErr w:type="spellStart"/>
      <w:r w:rsidRPr="00484059">
        <w:t>теплоэнергии</w:t>
      </w:r>
      <w:proofErr w:type="spellEnd"/>
      <w:r w:rsidRPr="00484059">
        <w:t xml:space="preserve">, сбор, очистка и распределение воды. </w:t>
      </w:r>
    </w:p>
    <w:p w:rsidR="00484059" w:rsidRPr="00484059" w:rsidRDefault="00484059" w:rsidP="00484059">
      <w:pPr>
        <w:ind w:firstLine="851"/>
        <w:jc w:val="both"/>
      </w:pPr>
      <w:r w:rsidRPr="00484059">
        <w:t>ООО «</w:t>
      </w:r>
      <w:proofErr w:type="gramStart"/>
      <w:r w:rsidRPr="00484059">
        <w:t>Весьегонский</w:t>
      </w:r>
      <w:proofErr w:type="gramEnd"/>
      <w:r w:rsidRPr="00484059">
        <w:t xml:space="preserve"> энергоремонт» обслуживает 13 котельных в городе и одну в </w:t>
      </w:r>
      <w:proofErr w:type="spellStart"/>
      <w:r w:rsidRPr="00484059">
        <w:t>Кесемском</w:t>
      </w:r>
      <w:proofErr w:type="spellEnd"/>
      <w:r w:rsidRPr="00484059">
        <w:t xml:space="preserve"> сельском поселении. По водоснабжению обслуживает только город – 6 </w:t>
      </w:r>
      <w:proofErr w:type="spellStart"/>
      <w:r w:rsidRPr="00484059">
        <w:t>артскважин</w:t>
      </w:r>
      <w:proofErr w:type="spellEnd"/>
      <w:r w:rsidRPr="00484059">
        <w:t xml:space="preserve">, в том числе одна резервная. По </w:t>
      </w:r>
      <w:proofErr w:type="spellStart"/>
      <w:r w:rsidRPr="00484059">
        <w:t>вододоотведению</w:t>
      </w:r>
      <w:proofErr w:type="spellEnd"/>
      <w:r w:rsidRPr="00484059">
        <w:t xml:space="preserve"> в обслуживании 5 канализационных систем.</w:t>
      </w:r>
    </w:p>
    <w:p w:rsidR="00484059" w:rsidRPr="00484059" w:rsidRDefault="00484059" w:rsidP="00484059">
      <w:pPr>
        <w:ind w:firstLine="851"/>
        <w:jc w:val="both"/>
      </w:pPr>
      <w:r w:rsidRPr="00484059">
        <w:t>Сумма за сбор, очистку и распределение воды увеличивается с каждым годом за счет повышения тарифов на эти услуги.</w:t>
      </w:r>
    </w:p>
    <w:p w:rsidR="00484059" w:rsidRPr="00484059" w:rsidRDefault="00484059" w:rsidP="00484059">
      <w:pPr>
        <w:ind w:firstLine="567"/>
        <w:jc w:val="both"/>
      </w:pPr>
    </w:p>
    <w:p w:rsidR="00484059" w:rsidRPr="00484059" w:rsidRDefault="00484059" w:rsidP="00484059">
      <w:pPr>
        <w:ind w:firstLine="567"/>
        <w:jc w:val="both"/>
      </w:pPr>
      <w:r w:rsidRPr="00484059">
        <w:t xml:space="preserve">  При </w:t>
      </w:r>
      <w:proofErr w:type="gramStart"/>
      <w:r w:rsidRPr="00484059">
        <w:t>разработке раздела</w:t>
      </w:r>
      <w:proofErr w:type="gramEnd"/>
      <w:r w:rsidRPr="00484059">
        <w:t xml:space="preserve"> сельское хозяйство, согласно предложенной методике Департамента экономики и промышленной политики, были использованы:</w:t>
      </w:r>
    </w:p>
    <w:p w:rsidR="00484059" w:rsidRPr="00484059" w:rsidRDefault="00484059" w:rsidP="00484059">
      <w:pPr>
        <w:ind w:firstLine="567"/>
        <w:jc w:val="both"/>
      </w:pPr>
      <w:r w:rsidRPr="00484059">
        <w:t>- данные статистики;</w:t>
      </w:r>
    </w:p>
    <w:p w:rsidR="00484059" w:rsidRPr="00484059" w:rsidRDefault="00484059" w:rsidP="00484059">
      <w:pPr>
        <w:ind w:firstLine="567"/>
        <w:jc w:val="both"/>
      </w:pPr>
      <w:r w:rsidRPr="00484059">
        <w:t xml:space="preserve">- годовые отчеты хозяйств, </w:t>
      </w:r>
      <w:proofErr w:type="spellStart"/>
      <w:r w:rsidRPr="00484059">
        <w:t>сельхозотдела</w:t>
      </w:r>
      <w:proofErr w:type="spellEnd"/>
      <w:r w:rsidRPr="00484059">
        <w:t>;</w:t>
      </w:r>
    </w:p>
    <w:p w:rsidR="00484059" w:rsidRPr="00484059" w:rsidRDefault="00484059" w:rsidP="00484059">
      <w:pPr>
        <w:ind w:firstLine="567"/>
        <w:jc w:val="both"/>
      </w:pPr>
      <w:r w:rsidRPr="00484059">
        <w:t>- индексы – дефляторы.</w:t>
      </w:r>
    </w:p>
    <w:p w:rsidR="00484059" w:rsidRPr="00484059" w:rsidRDefault="00484059" w:rsidP="00484059">
      <w:pPr>
        <w:ind w:firstLine="567"/>
        <w:jc w:val="both"/>
      </w:pPr>
      <w:r w:rsidRPr="00484059">
        <w:t>На 01.01.2011 г. в районе насчитывается 14 сельхозпредприятий.</w:t>
      </w:r>
    </w:p>
    <w:p w:rsidR="00484059" w:rsidRPr="00484059" w:rsidRDefault="00484059" w:rsidP="00484059">
      <w:pPr>
        <w:ind w:firstLine="567"/>
        <w:jc w:val="both"/>
      </w:pPr>
      <w:r w:rsidRPr="00484059">
        <w:t xml:space="preserve">Основным направлением является производство молока, которое в основном реализуется за пределами района. Прочая производственная сельхозпродукция реализуется населению, работникам хозяйств в виде натуроплаты, </w:t>
      </w:r>
      <w:proofErr w:type="spellStart"/>
      <w:r w:rsidRPr="00484059">
        <w:t>райпо</w:t>
      </w:r>
      <w:proofErr w:type="spellEnd"/>
      <w:r w:rsidRPr="00484059">
        <w:t>.</w:t>
      </w:r>
    </w:p>
    <w:p w:rsidR="00484059" w:rsidRPr="00484059" w:rsidRDefault="00484059" w:rsidP="00484059">
      <w:pPr>
        <w:ind w:firstLine="567"/>
        <w:jc w:val="both"/>
      </w:pPr>
      <w:r w:rsidRPr="00484059">
        <w:t>Несмотря на ежегодный рост, зарплата в сельском хозяйстве остается низкой по сравнению с другими отраслями района.</w:t>
      </w:r>
    </w:p>
    <w:p w:rsidR="00484059" w:rsidRPr="00484059" w:rsidRDefault="00484059" w:rsidP="00484059">
      <w:pPr>
        <w:ind w:firstLine="567"/>
        <w:jc w:val="both"/>
      </w:pPr>
      <w:r w:rsidRPr="00484059">
        <w:t>В связи с сокращением сельских жителей, населения в целом по району, в 2010 году по сравнению с 2009 годом население района сократилось на 1,46%.</w:t>
      </w:r>
    </w:p>
    <w:p w:rsidR="00484059" w:rsidRPr="00484059" w:rsidRDefault="00484059" w:rsidP="00484059">
      <w:pPr>
        <w:ind w:firstLine="567"/>
        <w:jc w:val="both"/>
      </w:pPr>
      <w:r w:rsidRPr="00484059">
        <w:t>Производство сельхозпродукции планируется на 2011-2014 г.г. на уровне 2010 года, так как небольшой уровень заработной платы, сокращение работающих на прочих предприятиях и организациях района, население вынуждено заниматься откормом скота для собственных нужд и для реализации.</w:t>
      </w:r>
    </w:p>
    <w:p w:rsidR="00484059" w:rsidRPr="00484059" w:rsidRDefault="00484059" w:rsidP="00484059">
      <w:pPr>
        <w:ind w:firstLine="567"/>
        <w:jc w:val="both"/>
      </w:pPr>
      <w:r w:rsidRPr="00484059">
        <w:t xml:space="preserve">Расчет себестоимости был произведен </w:t>
      </w:r>
      <w:proofErr w:type="gramStart"/>
      <w:r w:rsidRPr="00484059">
        <w:t>согласно</w:t>
      </w:r>
      <w:proofErr w:type="gramEnd"/>
      <w:r w:rsidRPr="00484059">
        <w:t xml:space="preserve"> удельного веса расходов в 2010 году и индексов-дифляторов соответствующих отраслей.</w:t>
      </w:r>
    </w:p>
    <w:p w:rsidR="00484059" w:rsidRPr="00484059" w:rsidRDefault="00484059" w:rsidP="00484059">
      <w:pPr>
        <w:ind w:firstLine="567"/>
        <w:jc w:val="both"/>
      </w:pPr>
      <w:r w:rsidRPr="00484059">
        <w:t>В хозяйствах населения содержится большее поголовье овец и коз, а прочие виды скота представлены лошадьми, поголовье которых составляет всего 13 голов. Поэтому производство прочих видов скота в 2011 году остается на уровне 2010 года.</w:t>
      </w:r>
    </w:p>
    <w:p w:rsidR="00484059" w:rsidRPr="00484059" w:rsidRDefault="00484059" w:rsidP="00484059">
      <w:pPr>
        <w:ind w:firstLine="567"/>
        <w:jc w:val="both"/>
      </w:pPr>
      <w:r w:rsidRPr="00484059">
        <w:t>В сельскохозяйственных предприятиях снижение производства скота в живом весе связано с уменьшением поголовья крупного рогатого скота. Хозяйства специализируются на производстве молока.</w:t>
      </w:r>
    </w:p>
    <w:p w:rsidR="00484059" w:rsidRPr="00484059" w:rsidRDefault="00484059" w:rsidP="00484059">
      <w:pPr>
        <w:ind w:firstLine="567"/>
        <w:jc w:val="both"/>
        <w:rPr>
          <w:highlight w:val="yellow"/>
        </w:rPr>
      </w:pPr>
      <w:r w:rsidRPr="00484059">
        <w:t xml:space="preserve">Несмотря на ежегодный рост, зарплата в сельском хозяйстве остается  низкой по сравнению с другими отраслями района. В 2010 году среднемесячная  зарплата по району составила 10649,60 руб, при росте 9,5 % к уровню 2009 года.  </w:t>
      </w:r>
    </w:p>
    <w:p w:rsidR="00484059" w:rsidRPr="00484059" w:rsidRDefault="00484059" w:rsidP="00484059">
      <w:pPr>
        <w:ind w:firstLine="567"/>
        <w:jc w:val="both"/>
      </w:pPr>
      <w:r w:rsidRPr="00484059">
        <w:t>В связи с сокращением  сельских жителей, населения в целом по району, в 2010 году по сравнению с 2009 годом население района сократилось на 1,6%.</w:t>
      </w:r>
    </w:p>
    <w:p w:rsidR="00484059" w:rsidRPr="00484059" w:rsidRDefault="00484059" w:rsidP="00484059">
      <w:pPr>
        <w:ind w:firstLine="567"/>
        <w:jc w:val="both"/>
      </w:pPr>
      <w:r w:rsidRPr="00484059">
        <w:t>Производство сельхозпродукции  планируется на 2011-2014 год на уровне 2010 года так как,  небольшой  уровень зарплаты, сокращение работающих на прочих предприятиях и организациях района, население вынуждено заниматься  откормом  скота для собственных нужд и для реализации.</w:t>
      </w:r>
    </w:p>
    <w:p w:rsidR="00484059" w:rsidRPr="00484059" w:rsidRDefault="00484059" w:rsidP="00484059">
      <w:pPr>
        <w:ind w:firstLine="567"/>
        <w:jc w:val="both"/>
      </w:pPr>
    </w:p>
    <w:p w:rsidR="00484059" w:rsidRPr="00484059" w:rsidRDefault="00484059" w:rsidP="00484059">
      <w:pPr>
        <w:ind w:firstLine="851"/>
        <w:jc w:val="both"/>
      </w:pPr>
      <w:r w:rsidRPr="00484059">
        <w:t xml:space="preserve">При расчете объема инвестиций в основной капитал использованы данные службы государственной статистики по Тверской области «Инвестиции в основной капитал по Весьегонскому району за январь - декабрь 2010 года, индексы – дефляторы инвестиций в </w:t>
      </w:r>
      <w:r w:rsidRPr="00484059">
        <w:lastRenderedPageBreak/>
        <w:t>основной капитал за счет всех источников  финансирования на период до 2014 года. За 2010 год объем инвестиций по полному кругу предприятий и составил 179853 тыс. руб., в том числе в сельское хозяйство, охоту и лесное хозяйство – 3278 тыс. руб., обрабатывающие производства 24355 тыс. руб., производство и распределение электроэнергии, воды и газа – 21755 тыс. руб.</w:t>
      </w:r>
    </w:p>
    <w:p w:rsidR="00484059" w:rsidRPr="00484059" w:rsidRDefault="00484059" w:rsidP="00484059">
      <w:pPr>
        <w:ind w:firstLine="851"/>
        <w:jc w:val="both"/>
      </w:pPr>
      <w:r w:rsidRPr="00484059">
        <w:t>Финансирование инвестиций осуществлялось за счет следующих источников:</w:t>
      </w:r>
    </w:p>
    <w:p w:rsidR="00484059" w:rsidRPr="00484059" w:rsidRDefault="00484059" w:rsidP="00484059">
      <w:pPr>
        <w:ind w:firstLine="851"/>
        <w:jc w:val="both"/>
      </w:pPr>
      <w:proofErr w:type="gramStart"/>
      <w:r w:rsidRPr="00484059">
        <w:t>- собственные средства (амортизация) – 34826 тыс. руб.;</w:t>
      </w:r>
      <w:proofErr w:type="gramEnd"/>
    </w:p>
    <w:p w:rsidR="00484059" w:rsidRPr="00484059" w:rsidRDefault="00484059" w:rsidP="00484059">
      <w:pPr>
        <w:ind w:firstLine="851"/>
        <w:jc w:val="both"/>
      </w:pPr>
      <w:r w:rsidRPr="00484059">
        <w:t>- привлеченные средства (кредиты банков, бюджетные средства, внебюджетные фонды и прочие) – 31152 тыс. руб.;</w:t>
      </w:r>
    </w:p>
    <w:p w:rsidR="00484059" w:rsidRPr="00484059" w:rsidRDefault="00484059" w:rsidP="00484059">
      <w:pPr>
        <w:ind w:firstLine="851"/>
        <w:jc w:val="both"/>
      </w:pPr>
      <w:r w:rsidRPr="00484059">
        <w:t>- прочие источники – 21088 тыс. руб.</w:t>
      </w:r>
    </w:p>
    <w:p w:rsidR="00484059" w:rsidRPr="00484059" w:rsidRDefault="00484059" w:rsidP="00484059">
      <w:pPr>
        <w:ind w:firstLine="851"/>
        <w:jc w:val="both"/>
      </w:pPr>
      <w:proofErr w:type="gramStart"/>
      <w:r w:rsidRPr="00484059">
        <w:t>В 2011-2012 г.г. планируется строительство: многоэтажного жилого дома стоимостью 9600 тыс. рублей, сельскохозяйственного рынка стоимостью 3000 тыс. рублей, АЗС – 1500 тыс. рублей, универсального спорткомплекса – 1500 тыс. рублей, автосервиса – 2500 тыс. рублей, магазина запчасти – 2000 тыс. рублей.</w:t>
      </w:r>
      <w:proofErr w:type="gramEnd"/>
    </w:p>
    <w:p w:rsidR="00484059" w:rsidRPr="00484059" w:rsidRDefault="00484059" w:rsidP="00484059">
      <w:pPr>
        <w:shd w:val="clear" w:color="auto" w:fill="FFFFFF"/>
        <w:ind w:left="10" w:right="1" w:firstLine="1124"/>
        <w:jc w:val="both"/>
      </w:pPr>
      <w:r w:rsidRPr="00484059">
        <w:rPr>
          <w:color w:val="000000"/>
        </w:rPr>
        <w:t>Данные по обороту розничной торговли во всех каналах реализации по Весьегонскому району за 2010 год соответствуют статистическим данным.</w:t>
      </w:r>
    </w:p>
    <w:p w:rsidR="00484059" w:rsidRPr="00484059" w:rsidRDefault="00484059" w:rsidP="00484059">
      <w:pPr>
        <w:shd w:val="clear" w:color="auto" w:fill="FFFFFF"/>
        <w:ind w:left="14" w:right="1" w:firstLine="1124"/>
        <w:jc w:val="both"/>
        <w:rPr>
          <w:color w:val="000000"/>
        </w:rPr>
      </w:pPr>
      <w:proofErr w:type="spellStart"/>
      <w:r w:rsidRPr="00484059">
        <w:rPr>
          <w:color w:val="000000"/>
        </w:rPr>
        <w:t>Досчет</w:t>
      </w:r>
      <w:proofErr w:type="spellEnd"/>
      <w:r w:rsidRPr="00484059">
        <w:rPr>
          <w:color w:val="000000"/>
        </w:rPr>
        <w:t xml:space="preserve"> по платным услугам </w:t>
      </w:r>
      <w:proofErr w:type="gramStart"/>
      <w:r w:rsidRPr="00484059">
        <w:rPr>
          <w:color w:val="000000"/>
        </w:rPr>
        <w:t>произведен</w:t>
      </w:r>
      <w:proofErr w:type="gramEnd"/>
      <w:r w:rsidRPr="00484059">
        <w:rPr>
          <w:color w:val="000000"/>
        </w:rPr>
        <w:t xml:space="preserve"> по среднему коэффициенту, для его расчета за основу были взяты 4 года (с 2006 по 2009). Был определен коэффициент отношения платных услуг по средним и крупным предприятиям и организациям района к полному кругу. В 2010 году произошел рост по объему платных услуг по сравнению к 2008 году на 125,8% из-за открытия гостиницы «Дели», где предоставляются услуги рыбалки и охоты.</w:t>
      </w:r>
    </w:p>
    <w:p w:rsidR="00484059" w:rsidRPr="00484059" w:rsidRDefault="00484059" w:rsidP="00484059">
      <w:pPr>
        <w:shd w:val="clear" w:color="auto" w:fill="FFFFFF"/>
        <w:ind w:left="14" w:right="1" w:firstLine="1124"/>
        <w:jc w:val="both"/>
        <w:rPr>
          <w:color w:val="000000"/>
        </w:rPr>
      </w:pPr>
      <w:r w:rsidRPr="00484059">
        <w:rPr>
          <w:color w:val="000000"/>
        </w:rPr>
        <w:t>На территории Весьегонского района имеется 3 точки общественного питания, а именно: Ресторан «Весь», Кафе-бар-бильярд, закусочная «Бистро».</w:t>
      </w:r>
    </w:p>
    <w:p w:rsidR="00484059" w:rsidRPr="00484059" w:rsidRDefault="00484059" w:rsidP="00484059">
      <w:pPr>
        <w:shd w:val="clear" w:color="auto" w:fill="FFFFFF"/>
        <w:ind w:left="14" w:right="1" w:firstLine="1124"/>
        <w:jc w:val="both"/>
      </w:pPr>
      <w:r w:rsidRPr="00484059">
        <w:rPr>
          <w:color w:val="000000"/>
        </w:rPr>
        <w:t xml:space="preserve">     В 2010 году были взяты фактические данные по оказываемым  услугам:</w:t>
      </w:r>
    </w:p>
    <w:p w:rsidR="00484059" w:rsidRPr="00484059" w:rsidRDefault="00484059" w:rsidP="00484059">
      <w:pPr>
        <w:shd w:val="clear" w:color="auto" w:fill="FFFFFF"/>
        <w:ind w:right="1" w:firstLine="1124"/>
        <w:jc w:val="both"/>
        <w:rPr>
          <w:color w:val="000000"/>
        </w:rPr>
      </w:pPr>
      <w:r w:rsidRPr="00484059">
        <w:rPr>
          <w:color w:val="000000"/>
        </w:rPr>
        <w:t xml:space="preserve">- по коммунальным, жилищным услугам - данные статистической формы 22- ЖКХ,     </w:t>
      </w:r>
    </w:p>
    <w:p w:rsidR="00484059" w:rsidRPr="00484059" w:rsidRDefault="00484059" w:rsidP="00484059">
      <w:pPr>
        <w:shd w:val="clear" w:color="auto" w:fill="FFFFFF"/>
        <w:ind w:right="1" w:firstLine="1124"/>
        <w:jc w:val="both"/>
        <w:rPr>
          <w:color w:val="000000"/>
        </w:rPr>
      </w:pPr>
      <w:r w:rsidRPr="00484059">
        <w:rPr>
          <w:color w:val="000000"/>
        </w:rPr>
        <w:t>- предоставлению услуг гостиниц - данные статистической формы 22- ЖКХ.</w:t>
      </w:r>
    </w:p>
    <w:p w:rsidR="00484059" w:rsidRPr="00484059" w:rsidRDefault="00484059" w:rsidP="00484059">
      <w:pPr>
        <w:shd w:val="clear" w:color="auto" w:fill="FFFFFF"/>
        <w:ind w:right="1" w:firstLine="1124"/>
        <w:jc w:val="both"/>
      </w:pPr>
      <w:r w:rsidRPr="00484059">
        <w:rPr>
          <w:color w:val="000000"/>
        </w:rPr>
        <w:t>В 2010 году по отношению к 2009 году большой рост составил по коммунальным услугам из-за</w:t>
      </w:r>
      <w:r w:rsidRPr="00484059">
        <w:rPr>
          <w:i/>
          <w:iCs/>
          <w:color w:val="000000"/>
        </w:rPr>
        <w:t xml:space="preserve"> </w:t>
      </w:r>
      <w:r w:rsidRPr="00484059">
        <w:rPr>
          <w:color w:val="000000"/>
        </w:rPr>
        <w:t xml:space="preserve">увеличения тарифа для населения за </w:t>
      </w:r>
      <w:proofErr w:type="spellStart"/>
      <w:r w:rsidRPr="00484059">
        <w:rPr>
          <w:color w:val="000000"/>
        </w:rPr>
        <w:t>теплоэнергию</w:t>
      </w:r>
      <w:proofErr w:type="spellEnd"/>
      <w:r w:rsidRPr="00484059">
        <w:rPr>
          <w:color w:val="000000"/>
        </w:rPr>
        <w:t>, в 2011 г. и в 2012 г. планируется увеличение тарифа.</w:t>
      </w:r>
    </w:p>
    <w:p w:rsidR="00484059" w:rsidRPr="00484059" w:rsidRDefault="00484059" w:rsidP="00484059">
      <w:pPr>
        <w:ind w:firstLine="567"/>
        <w:jc w:val="both"/>
      </w:pPr>
    </w:p>
    <w:p w:rsidR="00484059" w:rsidRPr="00484059" w:rsidRDefault="00484059" w:rsidP="00484059">
      <w:pPr>
        <w:ind w:firstLine="567"/>
        <w:jc w:val="both"/>
      </w:pPr>
    </w:p>
    <w:p w:rsidR="00484059" w:rsidRPr="00484059" w:rsidRDefault="00484059" w:rsidP="00484059">
      <w:pPr>
        <w:shd w:val="clear" w:color="auto" w:fill="FFFFFF"/>
        <w:ind w:firstLine="567"/>
        <w:jc w:val="both"/>
      </w:pPr>
      <w:r w:rsidRPr="00484059">
        <w:t xml:space="preserve">В 2010 году введено  в эксплуатацию жилых  домов (индивидуальное строительство)  2,7 тыс.кв. метров, на 2011 год планируется ввод 2,3 тыс.кв.м. Так же за счет индивидуального строительства. Стоимость жилищно-коммунальных </w:t>
      </w:r>
      <w:proofErr w:type="gramStart"/>
      <w:r w:rsidRPr="00484059">
        <w:t>услуг, оказываемых населению растет</w:t>
      </w:r>
      <w:proofErr w:type="gramEnd"/>
      <w:r w:rsidRPr="00484059">
        <w:t xml:space="preserve"> за счет увеличения стоимость  энергоносителей, фактический уровень платежей  населения за  жилье и коммунальные услуги составляет 76%.</w:t>
      </w:r>
    </w:p>
    <w:p w:rsidR="00484059" w:rsidRPr="00484059" w:rsidRDefault="00484059" w:rsidP="00484059">
      <w:pPr>
        <w:shd w:val="clear" w:color="auto" w:fill="FFFFFF"/>
        <w:ind w:firstLine="567"/>
        <w:jc w:val="both"/>
      </w:pPr>
      <w:r w:rsidRPr="00484059">
        <w:t>Численность детей в дошкольных учреждениях составила 399 человек, учащихся  в общеобразовательных учреждениях 1117 человек. Обеспеченность населения больничными койками на 10 тыс. человек составила 68 коек, врачами - 19, средним медицинским персоналом – 92.</w:t>
      </w: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892D92" w:rsidRPr="00484059" w:rsidRDefault="00892D92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9800DD" w:rsidRPr="00484059" w:rsidRDefault="009800DD" w:rsidP="00484059">
      <w:pPr>
        <w:shd w:val="clear" w:color="auto" w:fill="FFFFFF"/>
        <w:ind w:left="14" w:firstLine="851"/>
        <w:jc w:val="both"/>
        <w:rPr>
          <w:color w:val="000000"/>
          <w:spacing w:val="-5"/>
          <w:highlight w:val="yellow"/>
        </w:rPr>
      </w:pPr>
    </w:p>
    <w:p w:rsidR="003A2BAD" w:rsidRPr="00484059" w:rsidRDefault="003A2BAD" w:rsidP="00484059">
      <w:pPr>
        <w:ind w:firstLine="540"/>
        <w:jc w:val="both"/>
      </w:pPr>
    </w:p>
    <w:p w:rsidR="003A2BAD" w:rsidRPr="00484059" w:rsidRDefault="003A2BAD" w:rsidP="00484059">
      <w:pPr>
        <w:ind w:firstLine="540"/>
        <w:jc w:val="both"/>
      </w:pPr>
    </w:p>
    <w:p w:rsidR="003A2BAD" w:rsidRPr="00484059" w:rsidRDefault="003A2BAD" w:rsidP="00484059">
      <w:pPr>
        <w:ind w:firstLine="540"/>
        <w:jc w:val="both"/>
      </w:pPr>
    </w:p>
    <w:p w:rsidR="003A2BAD" w:rsidRPr="00484059" w:rsidRDefault="003A2BAD" w:rsidP="00484059">
      <w:pPr>
        <w:ind w:firstLine="540"/>
        <w:jc w:val="both"/>
      </w:pPr>
    </w:p>
    <w:p w:rsidR="003A2BAD" w:rsidRPr="00484059" w:rsidRDefault="003A2BAD" w:rsidP="00484059">
      <w:pPr>
        <w:ind w:firstLine="540"/>
        <w:jc w:val="both"/>
      </w:pPr>
    </w:p>
    <w:sectPr w:rsidR="003A2BAD" w:rsidRPr="00484059" w:rsidSect="004A3E4F">
      <w:footnotePr>
        <w:pos w:val="beneathText"/>
      </w:footnotePr>
      <w:pgSz w:w="11905" w:h="16837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89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8252CC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2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A1D507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453565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5">
    <w:nsid w:val="3B212051"/>
    <w:multiLevelType w:val="hybridMultilevel"/>
    <w:tmpl w:val="DE7E3E78"/>
    <w:lvl w:ilvl="0" w:tplc="0C5A516A">
      <w:start w:val="1"/>
      <w:numFmt w:val="decimal"/>
      <w:lvlText w:val="%1)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E4A51EF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7">
    <w:nsid w:val="548548C6"/>
    <w:multiLevelType w:val="hybridMultilevel"/>
    <w:tmpl w:val="B0542858"/>
    <w:lvl w:ilvl="0" w:tplc="C7EC5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1A5AFF"/>
    <w:multiLevelType w:val="multilevel"/>
    <w:tmpl w:val="6CA0D3EA"/>
    <w:lvl w:ilvl="0">
      <w:start w:val="1"/>
      <w:numFmt w:val="decimal"/>
      <w:lvlText w:val="%1)"/>
      <w:lvlJc w:val="left"/>
      <w:pPr>
        <w:tabs>
          <w:tab w:val="num" w:pos="1235"/>
        </w:tabs>
        <w:ind w:left="1235" w:hanging="57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3472"/>
    <w:rsid w:val="000049FA"/>
    <w:rsid w:val="00035FE0"/>
    <w:rsid w:val="00051D20"/>
    <w:rsid w:val="00054707"/>
    <w:rsid w:val="00062A7F"/>
    <w:rsid w:val="000D3A25"/>
    <w:rsid w:val="000E5F09"/>
    <w:rsid w:val="00112AC5"/>
    <w:rsid w:val="00115622"/>
    <w:rsid w:val="00131818"/>
    <w:rsid w:val="00132B78"/>
    <w:rsid w:val="00141F15"/>
    <w:rsid w:val="001902F2"/>
    <w:rsid w:val="001D55C2"/>
    <w:rsid w:val="00207D06"/>
    <w:rsid w:val="00213472"/>
    <w:rsid w:val="00227479"/>
    <w:rsid w:val="00241E19"/>
    <w:rsid w:val="00255BF5"/>
    <w:rsid w:val="003276BE"/>
    <w:rsid w:val="003A2BAD"/>
    <w:rsid w:val="004441D7"/>
    <w:rsid w:val="00463F3F"/>
    <w:rsid w:val="00484059"/>
    <w:rsid w:val="00487E81"/>
    <w:rsid w:val="004A3E4F"/>
    <w:rsid w:val="004F1031"/>
    <w:rsid w:val="004F2CC9"/>
    <w:rsid w:val="00512989"/>
    <w:rsid w:val="0059611E"/>
    <w:rsid w:val="006047AA"/>
    <w:rsid w:val="00702064"/>
    <w:rsid w:val="007466AC"/>
    <w:rsid w:val="00776691"/>
    <w:rsid w:val="007B1810"/>
    <w:rsid w:val="007B72AF"/>
    <w:rsid w:val="007C7ADB"/>
    <w:rsid w:val="00892D92"/>
    <w:rsid w:val="008B05AE"/>
    <w:rsid w:val="008D4FA8"/>
    <w:rsid w:val="00976FE8"/>
    <w:rsid w:val="009800DD"/>
    <w:rsid w:val="00980B6D"/>
    <w:rsid w:val="0099388A"/>
    <w:rsid w:val="009B00FE"/>
    <w:rsid w:val="009D04F2"/>
    <w:rsid w:val="00AA1B17"/>
    <w:rsid w:val="00B002F2"/>
    <w:rsid w:val="00B10107"/>
    <w:rsid w:val="00B40E07"/>
    <w:rsid w:val="00C10185"/>
    <w:rsid w:val="00C3269A"/>
    <w:rsid w:val="00C66DD7"/>
    <w:rsid w:val="00C84303"/>
    <w:rsid w:val="00D25F97"/>
    <w:rsid w:val="00D7124D"/>
    <w:rsid w:val="00DA1B87"/>
    <w:rsid w:val="00DD60A6"/>
    <w:rsid w:val="00DF4164"/>
    <w:rsid w:val="00E053ED"/>
    <w:rsid w:val="00E52454"/>
    <w:rsid w:val="00ED7875"/>
    <w:rsid w:val="00EF3242"/>
    <w:rsid w:val="00EF4EAE"/>
    <w:rsid w:val="00F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21347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21347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character" w:styleId="a8">
    <w:name w:val="Hyperlink"/>
    <w:basedOn w:val="1"/>
    <w:rsid w:val="00213472"/>
    <w:rPr>
      <w:color w:val="0000FF"/>
      <w:u w:val="single"/>
    </w:rPr>
  </w:style>
  <w:style w:type="paragraph" w:styleId="a9">
    <w:name w:val="header"/>
    <w:basedOn w:val="a"/>
    <w:rsid w:val="00213472"/>
    <w:pPr>
      <w:tabs>
        <w:tab w:val="center" w:pos="4153"/>
        <w:tab w:val="right" w:pos="8306"/>
      </w:tabs>
    </w:pPr>
    <w:rPr>
      <w:szCs w:val="20"/>
    </w:rPr>
  </w:style>
  <w:style w:type="table" w:styleId="aa">
    <w:name w:val="Table Grid"/>
    <w:basedOn w:val="a1"/>
    <w:rsid w:val="0059611E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C66DD7"/>
    <w:pPr>
      <w:suppressAutoHyphens w:val="0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ВЕСЬЕГОНСКОГО РАЙОНА ТВЕРСКОЙ ОБЛАСТИ</vt:lpstr>
    </vt:vector>
  </TitlesOfParts>
  <Company/>
  <LinksUpToDate>false</LinksUpToDate>
  <CharactersWithSpaces>10800</CharactersWithSpaces>
  <SharedDoc>false</SharedDoc>
  <HLinks>
    <vt:vector size="6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ВЕСЬЕГОНСКОГО РАЙОНА ТВЕРСКОЙ ОБЛАСТИ</dc:title>
  <dc:subject/>
  <dc:creator>user</dc:creator>
  <cp:keywords/>
  <dc:description/>
  <cp:lastModifiedBy>Ирина</cp:lastModifiedBy>
  <cp:revision>3</cp:revision>
  <cp:lastPrinted>2010-10-06T09:20:00Z</cp:lastPrinted>
  <dcterms:created xsi:type="dcterms:W3CDTF">2011-10-25T04:12:00Z</dcterms:created>
  <dcterms:modified xsi:type="dcterms:W3CDTF">2011-10-25T04:13:00Z</dcterms:modified>
</cp:coreProperties>
</file>