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header2.xml" ContentType="application/vnd.openxmlformats-officedocument.wordprocessingml.header+xml"/>
  <Override PartName="/word/media/image3.png" ContentType="image/png"/>
  <Override PartName="/word/media/image1.tif" ContentType="image/tiff"/>
  <Override PartName="/word/media/image4.png" ContentType="image/png"/>
  <Override PartName="/word/media/image2.tif" ContentType="image/tiff"/>
  <Override PartName="/word/media/image5.png" ContentType="image/png"/>
  <Override PartName="/word/media/image6.png" ContentType="image/png"/>
  <Override PartName="/word/media/image7.png" ContentType="image/png"/>
  <Override PartName="/word/media/image8.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pPr>
      <w:r>
        <w:rPr/>
      </w:r>
    </w:p>
    <w:p>
      <w:pPr>
        <w:pStyle w:val="Normal"/>
        <w:spacing w:lineRule="auto" w:line="276"/>
        <w:rPr/>
      </w:pPr>
      <w:r>
        <w:rPr/>
        <mc:AlternateContent>
          <mc:Choice Requires="wps">
            <w:drawing>
              <wp:anchor behindDoc="0" distT="0" distB="0" distL="114300" distR="114300" simplePos="0" locked="0" layoutInCell="1" allowOverlap="1" relativeHeight="2" wp14:anchorId="775894A8">
                <wp:simplePos x="0" y="0"/>
                <wp:positionH relativeFrom="margin">
                  <wp:align>left</wp:align>
                </wp:positionH>
                <wp:positionV relativeFrom="page">
                  <wp:posOffset>5943600</wp:posOffset>
                </wp:positionV>
                <wp:extent cx="5603875" cy="3670300"/>
                <wp:effectExtent l="0" t="0" r="0" b="9525"/>
                <wp:wrapNone/>
                <wp:docPr id="1" name="Text Box 2"/>
                <a:graphic xmlns:a="http://schemas.openxmlformats.org/drawingml/2006/main">
                  <a:graphicData uri="http://schemas.microsoft.com/office/word/2010/wordprocessingShape">
                    <wps:wsp>
                      <wps:cNvSpPr/>
                      <wps:spPr>
                        <a:xfrm>
                          <a:off x="0" y="0"/>
                          <a:ext cx="5603400" cy="3669840"/>
                        </a:xfrm>
                        <a:prstGeom prst="rect">
                          <a:avLst/>
                        </a:prstGeom>
                        <a:noFill/>
                        <a:ln>
                          <a:noFill/>
                        </a:ln>
                      </wps:spPr>
                      <wps:style>
                        <a:lnRef idx="0"/>
                        <a:fillRef idx="0"/>
                        <a:effectRef idx="0"/>
                        <a:fontRef idx="minor"/>
                      </wps:style>
                      <wps:txbx>
                        <w:txbxContent>
                          <w:p>
                            <w:pPr>
                              <w:pStyle w:val="Style22"/>
                              <w:jc w:val="center"/>
                              <w:rPr>
                                <w:lang w:val="en-US"/>
                              </w:rPr>
                            </w:pPr>
                            <w:r>
                              <w:rPr>
                                <w:lang w:val="en-US"/>
                              </w:rPr>
                              <w:t>Supply Base Report of Biomass Producer</w:t>
                            </w:r>
                          </w:p>
                          <w:p>
                            <w:pPr>
                              <w:pStyle w:val="Style22"/>
                              <w:jc w:val="center"/>
                              <w:rPr>
                                <w:lang w:val="en-US"/>
                              </w:rPr>
                            </w:pPr>
                            <w:r>
                              <w:rPr>
                                <w:lang w:val="en-US"/>
                              </w:rPr>
                              <w:t>LLC «TechnoArs»</w:t>
                            </w:r>
                          </w:p>
                          <w:p>
                            <w:pPr>
                              <w:pStyle w:val="Style22"/>
                              <w:rPr>
                                <w:color w:val="8AB059"/>
                                <w:sz w:val="36"/>
                                <w:szCs w:val="36"/>
                                <w:lang w:val="en-US"/>
                              </w:rPr>
                            </w:pPr>
                            <w:r>
                              <w:rPr>
                                <w:color w:val="8AB059"/>
                                <w:sz w:val="36"/>
                                <w:szCs w:val="36"/>
                                <w:lang w:val="en-US"/>
                              </w:rPr>
                            </w:r>
                          </w:p>
                          <w:p>
                            <w:pPr>
                              <w:pStyle w:val="Style24"/>
                              <w:rPr>
                                <w:lang w:val="en-US"/>
                              </w:rPr>
                            </w:pPr>
                            <w:r>
                              <w:rPr>
                                <w:lang w:val="en-US"/>
                              </w:rPr>
                            </w:r>
                          </w:p>
                          <w:p>
                            <w:pPr>
                              <w:pStyle w:val="Style24"/>
                              <w:rPr>
                                <w:lang w:val="en-US"/>
                              </w:rPr>
                            </w:pPr>
                            <w:r>
                              <w:rPr>
                                <w:lang w:val="en-US"/>
                              </w:rPr>
                            </w:r>
                          </w:p>
                          <w:p>
                            <w:pPr>
                              <w:pStyle w:val="Style24"/>
                              <w:rPr>
                                <w:color w:val="3D946D"/>
                                <w:lang w:val="en-US"/>
                              </w:rPr>
                            </w:pPr>
                            <w:r>
                              <w:rPr>
                                <w:color w:val="3D946D"/>
                              </w:rPr>
                              <w:t>www</w:t>
                            </w:r>
                            <w:r>
                              <w:rPr>
                                <w:color w:val="3D946D"/>
                                <w:lang w:val="en-US"/>
                              </w:rPr>
                              <w:t>.</w:t>
                            </w:r>
                            <w:r>
                              <w:rPr>
                                <w:color w:val="3D946D"/>
                              </w:rPr>
                              <w:t>sbp</w:t>
                            </w:r>
                            <w:r>
                              <w:rPr>
                                <w:color w:val="3D946D"/>
                                <w:lang w:val="en-US"/>
                              </w:rPr>
                              <w:t>-</w:t>
                            </w:r>
                            <w:r>
                              <w:rPr>
                                <w:color w:val="3D946D"/>
                              </w:rPr>
                              <w:t>cert</w:t>
                            </w:r>
                            <w:r>
                              <w:rPr>
                                <w:color w:val="3D946D"/>
                                <w:lang w:val="en-US"/>
                              </w:rPr>
                              <w:t>.</w:t>
                            </w:r>
                            <w:r>
                              <w:rPr>
                                <w:color w:val="3D946D"/>
                              </w:rPr>
                              <w:t>org</w:t>
                            </w:r>
                          </w:p>
                          <w:p>
                            <w:pPr>
                              <w:pStyle w:val="Style24"/>
                              <w:rPr>
                                <w:lang w:val="en-US"/>
                              </w:rPr>
                            </w:pPr>
                            <w:r>
                              <w:rPr>
                                <w:lang w:val="en-US"/>
                              </w:rPr>
                            </w:r>
                          </w:p>
                          <w:p>
                            <w:pPr>
                              <w:pStyle w:val="Style24"/>
                              <w:rPr>
                                <w:lang w:val="en-US"/>
                              </w:rPr>
                            </w:pPr>
                            <w:r>
                              <w:rPr>
                                <w:lang w:val="en-US"/>
                              </w:rPr>
                            </w:r>
                          </w:p>
                          <w:p>
                            <w:pPr>
                              <w:pStyle w:val="Style24"/>
                              <w:spacing w:before="0" w:after="200"/>
                              <w:rPr/>
                            </w:pPr>
                            <w:r>
                              <w:rPr/>
                            </w:r>
                          </w:p>
                        </w:txbxContent>
                      </wps:txbx>
                      <wps:bodyPr lIns="0" rIns="0" tIns="0" bIns="0">
                        <a:noAutofit/>
                      </wps:bodyPr>
                    </wps:wsp>
                  </a:graphicData>
                </a:graphic>
              </wp:anchor>
            </w:drawing>
          </mc:Choice>
          <mc:Fallback>
            <w:pict>
              <v:rect id="shape_0" ID="Text Box 2" stroked="f" style="position:absolute;margin-left:9pt;margin-top:468pt;width:441.15pt;height:288.9pt;mso-position-horizontal:left;mso-position-horizontal-relative:margin;mso-position-vertical-relative:page" wp14:anchorId="775894A8">
                <w10:wrap type="square"/>
                <v:fill o:detectmouseclick="t" on="false"/>
                <v:stroke color="#3465a4" joinstyle="round" endcap="flat"/>
                <v:textbox>
                  <w:txbxContent>
                    <w:p>
                      <w:pPr>
                        <w:pStyle w:val="Style22"/>
                        <w:jc w:val="center"/>
                        <w:rPr>
                          <w:lang w:val="en-US"/>
                        </w:rPr>
                      </w:pPr>
                      <w:r>
                        <w:rPr>
                          <w:lang w:val="en-US"/>
                        </w:rPr>
                        <w:t>Supply Base Report of Biomass Producer</w:t>
                      </w:r>
                    </w:p>
                    <w:p>
                      <w:pPr>
                        <w:pStyle w:val="Style22"/>
                        <w:jc w:val="center"/>
                        <w:rPr>
                          <w:lang w:val="en-US"/>
                        </w:rPr>
                      </w:pPr>
                      <w:r>
                        <w:rPr>
                          <w:lang w:val="en-US"/>
                        </w:rPr>
                        <w:t>LLC «TechnoArs»</w:t>
                      </w:r>
                    </w:p>
                    <w:p>
                      <w:pPr>
                        <w:pStyle w:val="Style22"/>
                        <w:rPr>
                          <w:color w:val="8AB059"/>
                          <w:sz w:val="36"/>
                          <w:szCs w:val="36"/>
                          <w:lang w:val="en-US"/>
                        </w:rPr>
                      </w:pPr>
                      <w:r>
                        <w:rPr>
                          <w:color w:val="8AB059"/>
                          <w:sz w:val="36"/>
                          <w:szCs w:val="36"/>
                          <w:lang w:val="en-US"/>
                        </w:rPr>
                      </w:r>
                    </w:p>
                    <w:p>
                      <w:pPr>
                        <w:pStyle w:val="Style24"/>
                        <w:rPr>
                          <w:lang w:val="en-US"/>
                        </w:rPr>
                      </w:pPr>
                      <w:r>
                        <w:rPr>
                          <w:lang w:val="en-US"/>
                        </w:rPr>
                      </w:r>
                    </w:p>
                    <w:p>
                      <w:pPr>
                        <w:pStyle w:val="Style24"/>
                        <w:rPr>
                          <w:lang w:val="en-US"/>
                        </w:rPr>
                      </w:pPr>
                      <w:r>
                        <w:rPr>
                          <w:lang w:val="en-US"/>
                        </w:rPr>
                      </w:r>
                    </w:p>
                    <w:p>
                      <w:pPr>
                        <w:pStyle w:val="Style24"/>
                        <w:rPr>
                          <w:color w:val="3D946D"/>
                          <w:lang w:val="en-US"/>
                        </w:rPr>
                      </w:pPr>
                      <w:r>
                        <w:rPr>
                          <w:color w:val="3D946D"/>
                        </w:rPr>
                        <w:t>www</w:t>
                      </w:r>
                      <w:r>
                        <w:rPr>
                          <w:color w:val="3D946D"/>
                          <w:lang w:val="en-US"/>
                        </w:rPr>
                        <w:t>.</w:t>
                      </w:r>
                      <w:r>
                        <w:rPr>
                          <w:color w:val="3D946D"/>
                        </w:rPr>
                        <w:t>sbp</w:t>
                      </w:r>
                      <w:r>
                        <w:rPr>
                          <w:color w:val="3D946D"/>
                          <w:lang w:val="en-US"/>
                        </w:rPr>
                        <w:t>-</w:t>
                      </w:r>
                      <w:r>
                        <w:rPr>
                          <w:color w:val="3D946D"/>
                        </w:rPr>
                        <w:t>cert</w:t>
                      </w:r>
                      <w:r>
                        <w:rPr>
                          <w:color w:val="3D946D"/>
                          <w:lang w:val="en-US"/>
                        </w:rPr>
                        <w:t>.</w:t>
                      </w:r>
                      <w:r>
                        <w:rPr>
                          <w:color w:val="3D946D"/>
                        </w:rPr>
                        <w:t>org</w:t>
                      </w:r>
                    </w:p>
                    <w:p>
                      <w:pPr>
                        <w:pStyle w:val="Style24"/>
                        <w:rPr>
                          <w:lang w:val="en-US"/>
                        </w:rPr>
                      </w:pPr>
                      <w:r>
                        <w:rPr>
                          <w:lang w:val="en-US"/>
                        </w:rPr>
                      </w:r>
                    </w:p>
                    <w:p>
                      <w:pPr>
                        <w:pStyle w:val="Style24"/>
                        <w:rPr>
                          <w:lang w:val="en-US"/>
                        </w:rPr>
                      </w:pPr>
                      <w:r>
                        <w:rPr>
                          <w:lang w:val="en-US"/>
                        </w:rPr>
                      </w:r>
                    </w:p>
                    <w:p>
                      <w:pPr>
                        <w:pStyle w:val="Style24"/>
                        <w:spacing w:before="0" w:after="200"/>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76"/>
        <w:rPr>
          <w:lang w:val="ru-RU"/>
        </w:rPr>
      </w:pPr>
      <w:r>
        <w:rPr>
          <w:lang w:val="ru-RU"/>
        </w:rPr>
      </w:r>
    </w:p>
    <w:p>
      <w:pPr>
        <w:pStyle w:val="Normal"/>
        <w:spacing w:lineRule="auto" w:line="276"/>
        <w:rPr/>
      </w:pPr>
      <w:r>
        <w:rPr/>
      </w:r>
      <w:r>
        <w:br w:type="page"/>
      </w:r>
    </w:p>
    <w:p>
      <w:pPr>
        <w:pStyle w:val="Normal"/>
        <w:rPr/>
      </w:pPr>
      <w:r>
        <w:rPr/>
        <mc:AlternateContent>
          <mc:Choice Requires="wps">
            <w:drawing>
              <wp:anchor behindDoc="0" distT="0" distB="0" distL="114300" distR="114300" simplePos="0" locked="0" layoutInCell="1" allowOverlap="1" relativeHeight="3" wp14:anchorId="29FC2AC1">
                <wp:simplePos x="0" y="0"/>
                <wp:positionH relativeFrom="page">
                  <wp:posOffset>971550</wp:posOffset>
                </wp:positionH>
                <wp:positionV relativeFrom="page">
                  <wp:posOffset>4231640</wp:posOffset>
                </wp:positionV>
                <wp:extent cx="5603875" cy="5718175"/>
                <wp:effectExtent l="0" t="0" r="0" b="0"/>
                <wp:wrapNone/>
                <wp:docPr id="3" name="Text Box 4"/>
                <a:graphic xmlns:a="http://schemas.openxmlformats.org/drawingml/2006/main">
                  <a:graphicData uri="http://schemas.microsoft.com/office/word/2010/wordprocessingShape">
                    <wps:wsp>
                      <wps:cNvSpPr/>
                      <wps:spPr>
                        <a:xfrm>
                          <a:off x="0" y="0"/>
                          <a:ext cx="5603400" cy="5717520"/>
                        </a:xfrm>
                        <a:prstGeom prst="rect">
                          <a:avLst/>
                        </a:prstGeom>
                        <a:noFill/>
                        <a:ln>
                          <a:noFill/>
                        </a:ln>
                      </wps:spPr>
                      <wps:style>
                        <a:lnRef idx="0"/>
                        <a:fillRef idx="0"/>
                        <a:effectRef idx="0"/>
                        <a:fontRef idx="minor"/>
                      </wps:style>
                      <wps:txbx>
                        <w:txbxContent>
                          <w:p>
                            <w:pPr>
                              <w:pStyle w:val="Style24"/>
                              <w:spacing w:lineRule="auto" w:line="240" w:before="0" w:after="0"/>
                              <w:rPr>
                                <w:b/>
                                <w:b/>
                                <w:sz w:val="24"/>
                                <w:szCs w:val="24"/>
                              </w:rPr>
                            </w:pPr>
                            <w:r>
                              <w:rPr>
                                <w:rFonts w:eastAsia="" w:cs="" w:ascii="Georgia" w:hAnsi="Georgia" w:cstheme="majorBidi" w:eastAsiaTheme="majorEastAsia"/>
                                <w:color w:val="3D946D"/>
                                <w:spacing w:val="5"/>
                                <w:kern w:val="2"/>
                                <w:sz w:val="40"/>
                                <w:szCs w:val="40"/>
                              </w:rPr>
                              <w:t>Completed in accordance with the Supply Base Report Template Version 1.3</w:t>
                            </w:r>
                          </w:p>
                          <w:p>
                            <w:pPr>
                              <w:pStyle w:val="Style24"/>
                              <w:rPr>
                                <w:b/>
                                <w:b/>
                                <w:i/>
                                <w:i/>
                                <w:sz w:val="24"/>
                                <w:szCs w:val="24"/>
                              </w:rPr>
                            </w:pPr>
                            <w:r>
                              <w:rPr>
                                <w:b/>
                                <w:i/>
                                <w:sz w:val="24"/>
                                <w:szCs w:val="24"/>
                              </w:rPr>
                            </w:r>
                          </w:p>
                          <w:p>
                            <w:pPr>
                              <w:pStyle w:val="Style24"/>
                              <w:rPr/>
                            </w:pPr>
                            <w:r>
                              <w:rPr/>
                            </w:r>
                          </w:p>
                          <w:p>
                            <w:pPr>
                              <w:pStyle w:val="Style24"/>
                              <w:rPr/>
                            </w:pPr>
                            <w:r>
                              <w:rPr>
                                <w:i/>
                              </w:rPr>
                              <w:t xml:space="preserve">For further information on the SBP Framework and to view the full set of documentation see </w:t>
                            </w:r>
                            <w:hyperlink r:id="rId2">
                              <w:r>
                                <w:rPr>
                                  <w:rStyle w:val="Style13"/>
                                  <w:i/>
                                  <w:color w:val="0B6F3E" w:themeColor="hyperlink"/>
                                  <w:u w:val="single"/>
                                </w:rPr>
                                <w:t>www.sbp-cert.org</w:t>
                              </w:r>
                            </w:hyperlink>
                          </w:p>
                          <w:p>
                            <w:pPr>
                              <w:pStyle w:val="Style24"/>
                              <w:rPr>
                                <w:i/>
                                <w:i/>
                              </w:rPr>
                            </w:pPr>
                            <w:r>
                              <w:rPr>
                                <w:i/>
                              </w:rPr>
                            </w:r>
                          </w:p>
                          <w:p>
                            <w:pPr>
                              <w:pStyle w:val="Style24"/>
                              <w:rPr>
                                <w:i/>
                                <w:i/>
                              </w:rPr>
                            </w:pPr>
                            <w:r>
                              <w:rPr>
                                <w:i/>
                              </w:rPr>
                              <w:t>Document history</w:t>
                            </w:r>
                          </w:p>
                          <w:p>
                            <w:pPr>
                              <w:pStyle w:val="Style24"/>
                              <w:rPr>
                                <w:i/>
                                <w:i/>
                              </w:rPr>
                            </w:pPr>
                            <w:r>
                              <w:rPr>
                                <w:i/>
                              </w:rPr>
                              <w:t>Version 1.0: published 26 March 2015</w:t>
                            </w:r>
                          </w:p>
                          <w:p>
                            <w:pPr>
                              <w:pStyle w:val="Style24"/>
                              <w:rPr>
                                <w:i/>
                                <w:i/>
                              </w:rPr>
                            </w:pPr>
                            <w:r>
                              <w:rPr>
                                <w:i/>
                              </w:rPr>
                              <w:t>Version 1.1 published 22 February 2016</w:t>
                            </w:r>
                          </w:p>
                          <w:p>
                            <w:pPr>
                              <w:pStyle w:val="Style24"/>
                              <w:rPr>
                                <w:i/>
                                <w:i/>
                              </w:rPr>
                            </w:pPr>
                            <w:r>
                              <w:rPr>
                                <w:i/>
                              </w:rPr>
                              <w:t>Version 1.2 published 23 June 2016</w:t>
                            </w:r>
                          </w:p>
                          <w:p>
                            <w:pPr>
                              <w:pStyle w:val="Style24"/>
                              <w:rPr>
                                <w:i/>
                                <w:i/>
                              </w:rPr>
                            </w:pPr>
                            <w:r>
                              <w:rPr>
                                <w:i/>
                              </w:rPr>
                              <w:t>Version 1.3 published 14 January 2019</w:t>
                            </w:r>
                          </w:p>
                          <w:p>
                            <w:pPr>
                              <w:pStyle w:val="Style24"/>
                              <w:rPr>
                                <w:i/>
                                <w:i/>
                              </w:rPr>
                            </w:pPr>
                            <w:r>
                              <w:rPr>
                                <w:i/>
                              </w:rPr>
                            </w:r>
                          </w:p>
                          <w:p>
                            <w:pPr>
                              <w:pStyle w:val="Style24"/>
                              <w:rPr>
                                <w:i/>
                                <w:i/>
                              </w:rPr>
                            </w:pPr>
                            <w:r>
                              <w:rPr>
                                <w:rFonts w:cs="Arial" w:cstheme="minorHAnsi"/>
                                <w:i/>
                              </w:rPr>
                              <w:t>©</w:t>
                            </w:r>
                            <w:r>
                              <w:rPr>
                                <w:i/>
                              </w:rPr>
                              <w:t xml:space="preserve"> Copyright The Sustainable Biomass Program Limited 2019</w:t>
                            </w:r>
                          </w:p>
                          <w:p>
                            <w:pPr>
                              <w:pStyle w:val="Style24"/>
                              <w:spacing w:before="0" w:after="200"/>
                              <w:rPr/>
                            </w:pPr>
                            <w:r>
                              <w:rPr/>
                            </w:r>
                          </w:p>
                        </w:txbxContent>
                      </wps:txbx>
                      <wps:bodyPr lIns="0" rIns="0" tIns="0" bIns="0">
                        <a:noAutofit/>
                      </wps:bodyPr>
                    </wps:wsp>
                  </a:graphicData>
                </a:graphic>
              </wp:anchor>
            </w:drawing>
          </mc:Choice>
          <mc:Fallback>
            <w:pict>
              <v:rect id="shape_0" ID="Text Box 4" stroked="f" style="position:absolute;margin-left:76.5pt;margin-top:333.2pt;width:441.15pt;height:450.15pt;mso-position-horizontal-relative:page;mso-position-vertical-relative:page" wp14:anchorId="29FC2AC1">
                <w10:wrap type="square"/>
                <v:fill o:detectmouseclick="t" on="false"/>
                <v:stroke color="#3465a4" joinstyle="round" endcap="flat"/>
                <v:textbox>
                  <w:txbxContent>
                    <w:p>
                      <w:pPr>
                        <w:pStyle w:val="Style24"/>
                        <w:spacing w:lineRule="auto" w:line="240" w:before="0" w:after="0"/>
                        <w:rPr>
                          <w:b/>
                          <w:b/>
                          <w:sz w:val="24"/>
                          <w:szCs w:val="24"/>
                        </w:rPr>
                      </w:pPr>
                      <w:r>
                        <w:rPr>
                          <w:rFonts w:eastAsia="" w:cs="" w:ascii="Georgia" w:hAnsi="Georgia" w:cstheme="majorBidi" w:eastAsiaTheme="majorEastAsia"/>
                          <w:color w:val="3D946D"/>
                          <w:spacing w:val="5"/>
                          <w:kern w:val="2"/>
                          <w:sz w:val="40"/>
                          <w:szCs w:val="40"/>
                        </w:rPr>
                        <w:t>Completed in accordance with the Supply Base Report Template Version 1.3</w:t>
                      </w:r>
                    </w:p>
                    <w:p>
                      <w:pPr>
                        <w:pStyle w:val="Style24"/>
                        <w:rPr>
                          <w:b/>
                          <w:b/>
                          <w:i/>
                          <w:i/>
                          <w:sz w:val="24"/>
                          <w:szCs w:val="24"/>
                        </w:rPr>
                      </w:pPr>
                      <w:r>
                        <w:rPr>
                          <w:b/>
                          <w:i/>
                          <w:sz w:val="24"/>
                          <w:szCs w:val="24"/>
                        </w:rPr>
                      </w:r>
                    </w:p>
                    <w:p>
                      <w:pPr>
                        <w:pStyle w:val="Style24"/>
                        <w:rPr/>
                      </w:pPr>
                      <w:r>
                        <w:rPr/>
                      </w:r>
                    </w:p>
                    <w:p>
                      <w:pPr>
                        <w:pStyle w:val="Style24"/>
                        <w:rPr/>
                      </w:pPr>
                      <w:r>
                        <w:rPr>
                          <w:i/>
                        </w:rPr>
                        <w:t xml:space="preserve">For further information on the SBP Framework and to view the full set of documentation see </w:t>
                      </w:r>
                      <w:hyperlink r:id="rId3">
                        <w:r>
                          <w:rPr>
                            <w:rStyle w:val="Style13"/>
                            <w:i/>
                            <w:color w:val="0B6F3E" w:themeColor="hyperlink"/>
                            <w:u w:val="single"/>
                          </w:rPr>
                          <w:t>www.sbp-cert.org</w:t>
                        </w:r>
                      </w:hyperlink>
                    </w:p>
                    <w:p>
                      <w:pPr>
                        <w:pStyle w:val="Style24"/>
                        <w:rPr>
                          <w:i/>
                          <w:i/>
                        </w:rPr>
                      </w:pPr>
                      <w:r>
                        <w:rPr>
                          <w:i/>
                        </w:rPr>
                      </w:r>
                    </w:p>
                    <w:p>
                      <w:pPr>
                        <w:pStyle w:val="Style24"/>
                        <w:rPr>
                          <w:i/>
                          <w:i/>
                        </w:rPr>
                      </w:pPr>
                      <w:r>
                        <w:rPr>
                          <w:i/>
                        </w:rPr>
                        <w:t>Document history</w:t>
                      </w:r>
                    </w:p>
                    <w:p>
                      <w:pPr>
                        <w:pStyle w:val="Style24"/>
                        <w:rPr>
                          <w:i/>
                          <w:i/>
                        </w:rPr>
                      </w:pPr>
                      <w:r>
                        <w:rPr>
                          <w:i/>
                        </w:rPr>
                        <w:t>Version 1.0: published 26 March 2015</w:t>
                      </w:r>
                    </w:p>
                    <w:p>
                      <w:pPr>
                        <w:pStyle w:val="Style24"/>
                        <w:rPr>
                          <w:i/>
                          <w:i/>
                        </w:rPr>
                      </w:pPr>
                      <w:r>
                        <w:rPr>
                          <w:i/>
                        </w:rPr>
                        <w:t>Version 1.1 published 22 February 2016</w:t>
                      </w:r>
                    </w:p>
                    <w:p>
                      <w:pPr>
                        <w:pStyle w:val="Style24"/>
                        <w:rPr>
                          <w:i/>
                          <w:i/>
                        </w:rPr>
                      </w:pPr>
                      <w:r>
                        <w:rPr>
                          <w:i/>
                        </w:rPr>
                        <w:t>Version 1.2 published 23 June 2016</w:t>
                      </w:r>
                    </w:p>
                    <w:p>
                      <w:pPr>
                        <w:pStyle w:val="Style24"/>
                        <w:rPr>
                          <w:i/>
                          <w:i/>
                        </w:rPr>
                      </w:pPr>
                      <w:r>
                        <w:rPr>
                          <w:i/>
                        </w:rPr>
                        <w:t>Version 1.3 published 14 January 2019</w:t>
                      </w:r>
                    </w:p>
                    <w:p>
                      <w:pPr>
                        <w:pStyle w:val="Style24"/>
                        <w:rPr>
                          <w:i/>
                          <w:i/>
                        </w:rPr>
                      </w:pPr>
                      <w:r>
                        <w:rPr>
                          <w:i/>
                        </w:rPr>
                      </w:r>
                    </w:p>
                    <w:p>
                      <w:pPr>
                        <w:pStyle w:val="Style24"/>
                        <w:rPr>
                          <w:i/>
                          <w:i/>
                        </w:rPr>
                      </w:pPr>
                      <w:r>
                        <w:rPr>
                          <w:rFonts w:cs="Arial" w:cstheme="minorHAnsi"/>
                          <w:i/>
                        </w:rPr>
                        <w:t>©</w:t>
                      </w:r>
                      <w:r>
                        <w:rPr>
                          <w:i/>
                        </w:rPr>
                        <w:t xml:space="preserve"> Copyright The Sustainable Biomass Program Limited 2019</w:t>
                      </w:r>
                    </w:p>
                    <w:p>
                      <w:pPr>
                        <w:pStyle w:val="Style24"/>
                        <w:spacing w:before="0" w:after="200"/>
                        <w:rPr/>
                      </w:pPr>
                      <w:r>
                        <w:rPr/>
                      </w:r>
                    </w:p>
                  </w:txbxContent>
                </v:textbox>
              </v:rect>
            </w:pict>
          </mc:Fallback>
        </mc:AlternateContent>
      </w:r>
      <w:r>
        <w:br w:type="page"/>
      </w:r>
    </w:p>
    <w:p>
      <w:pPr>
        <w:pStyle w:val="Normal"/>
        <w:rPr/>
      </w:pPr>
      <w:r>
        <w:rPr/>
      </w:r>
    </w:p>
    <w:sdt>
      <w:sdtPr>
        <w:docPartObj>
          <w:docPartGallery w:val="Table of Contents"/>
          <w:docPartUnique w:val="true"/>
        </w:docPartObj>
        <w:id w:val="1836088145"/>
      </w:sdtPr>
      <w:sdtContent>
        <w:p>
          <w:pPr>
            <w:pStyle w:val="TOCHeading"/>
            <w:rPr/>
          </w:pPr>
          <w:r>
            <w:rPr/>
            <w:t>Contents</w:t>
          </w:r>
        </w:p>
        <w:p>
          <w:pPr>
            <w:pStyle w:val="13"/>
            <w:rPr>
              <w:rFonts w:eastAsia="" w:eastAsiaTheme="minorEastAsia"/>
              <w:sz w:val="24"/>
              <w:szCs w:val="24"/>
              <w:lang w:val="en-US"/>
            </w:rPr>
          </w:pPr>
          <w:r>
            <w:fldChar w:fldCharType="begin"/>
          </w:r>
          <w:r>
            <w:instrText> TOC \z \o "1-3" \u \h</w:instrText>
          </w:r>
          <w:r>
            <w:fldChar w:fldCharType="separate"/>
          </w:r>
          <w:hyperlink w:anchor="_Toc454366452">
            <w:r>
              <w:rPr>
                <w:webHidden/>
                <w:rStyle w:val="Style14"/>
                <w:vanish w:val="false"/>
              </w:rPr>
              <w:t>1</w:t>
            </w:r>
            <w:r>
              <w:rPr>
                <w:rStyle w:val="Style14"/>
                <w:rFonts w:eastAsia="" w:eastAsiaTheme="minorEastAsia"/>
                <w:sz w:val="24"/>
                <w:szCs w:val="24"/>
                <w:lang w:val="en-US"/>
              </w:rPr>
              <w:tab/>
            </w:r>
            <w:r>
              <w:rPr>
                <w:rStyle w:val="Style14"/>
              </w:rPr>
              <w:t>Overview</w:t>
            </w:r>
            <w:r>
              <w:rPr>
                <w:webHidden/>
              </w:rPr>
              <w:fldChar w:fldCharType="begin"/>
            </w:r>
            <w:r>
              <w:rPr>
                <w:webHidden/>
              </w:rPr>
              <w:instrText>PAGEREF _Toc454366452 \h</w:instrText>
            </w:r>
            <w:r>
              <w:rPr>
                <w:webHidden/>
              </w:rPr>
              <w:fldChar w:fldCharType="separate"/>
            </w:r>
            <w:r>
              <w:rPr>
                <w:rStyle w:val="Style14"/>
                <w:vanish w:val="false"/>
              </w:rPr>
              <w:tab/>
              <w:t>1</w:t>
            </w:r>
            <w:r>
              <w:rPr>
                <w:webHidden/>
              </w:rPr>
              <w:fldChar w:fldCharType="end"/>
            </w:r>
          </w:hyperlink>
        </w:p>
        <w:p>
          <w:pPr>
            <w:pStyle w:val="13"/>
            <w:rPr>
              <w:rFonts w:eastAsia="" w:eastAsiaTheme="minorEastAsia"/>
              <w:sz w:val="24"/>
              <w:szCs w:val="24"/>
              <w:lang w:val="en-US"/>
            </w:rPr>
          </w:pPr>
          <w:hyperlink w:anchor="_Toc454366453">
            <w:r>
              <w:rPr>
                <w:webHidden/>
                <w:rStyle w:val="Style14"/>
                <w:vanish w:val="false"/>
              </w:rPr>
              <w:t>2</w:t>
            </w:r>
            <w:r>
              <w:rPr>
                <w:rStyle w:val="Style14"/>
                <w:rFonts w:eastAsia="" w:eastAsiaTheme="minorEastAsia"/>
                <w:sz w:val="24"/>
                <w:szCs w:val="24"/>
                <w:lang w:val="en-US"/>
              </w:rPr>
              <w:tab/>
            </w:r>
            <w:r>
              <w:rPr>
                <w:rStyle w:val="Style14"/>
              </w:rPr>
              <w:t>Description of the Supply Base</w:t>
            </w:r>
            <w:r>
              <w:rPr>
                <w:webHidden/>
              </w:rPr>
              <w:fldChar w:fldCharType="begin"/>
            </w:r>
            <w:r>
              <w:rPr>
                <w:webHidden/>
              </w:rPr>
              <w:instrText>PAGEREF _Toc454366453 \h</w:instrText>
            </w:r>
            <w:r>
              <w:rPr>
                <w:webHidden/>
              </w:rPr>
              <w:fldChar w:fldCharType="separate"/>
            </w:r>
            <w:r>
              <w:rPr>
                <w:rStyle w:val="Style14"/>
                <w:vanish w:val="false"/>
              </w:rPr>
              <w:tab/>
              <w:t>2</w:t>
            </w:r>
            <w:r>
              <w:rPr>
                <w:webHidden/>
              </w:rPr>
              <w:fldChar w:fldCharType="end"/>
            </w:r>
          </w:hyperlink>
        </w:p>
        <w:p>
          <w:pPr>
            <w:pStyle w:val="22"/>
            <w:rPr>
              <w:rFonts w:eastAsia="" w:eastAsiaTheme="minorEastAsia"/>
              <w:sz w:val="24"/>
              <w:szCs w:val="24"/>
              <w:lang w:val="en-US"/>
            </w:rPr>
          </w:pPr>
          <w:hyperlink w:anchor="_Toc454366454">
            <w:r>
              <w:rPr>
                <w:webHidden/>
                <w:rStyle w:val="Style14"/>
                <w:vanish w:val="false"/>
              </w:rPr>
              <w:t>2.1</w:t>
            </w:r>
            <w:r>
              <w:rPr>
                <w:rStyle w:val="Style14"/>
                <w:rFonts w:eastAsia="" w:eastAsiaTheme="minorEastAsia"/>
                <w:sz w:val="24"/>
                <w:szCs w:val="24"/>
                <w:lang w:val="en-US"/>
              </w:rPr>
              <w:tab/>
            </w:r>
            <w:r>
              <w:rPr>
                <w:rStyle w:val="Style14"/>
              </w:rPr>
              <w:t>General description</w:t>
            </w:r>
            <w:r>
              <w:rPr>
                <w:webHidden/>
              </w:rPr>
              <w:fldChar w:fldCharType="begin"/>
            </w:r>
            <w:r>
              <w:rPr>
                <w:webHidden/>
              </w:rPr>
              <w:instrText>PAGEREF _Toc454366454 \h</w:instrText>
            </w:r>
            <w:r>
              <w:rPr>
                <w:webHidden/>
              </w:rPr>
              <w:fldChar w:fldCharType="separate"/>
            </w:r>
            <w:r>
              <w:rPr>
                <w:rStyle w:val="Style14"/>
                <w:vanish w:val="false"/>
              </w:rPr>
              <w:tab/>
              <w:t>2</w:t>
            </w:r>
            <w:r>
              <w:rPr>
                <w:webHidden/>
              </w:rPr>
              <w:fldChar w:fldCharType="end"/>
            </w:r>
          </w:hyperlink>
        </w:p>
        <w:p>
          <w:pPr>
            <w:pStyle w:val="22"/>
            <w:rPr>
              <w:rFonts w:eastAsia="" w:eastAsiaTheme="minorEastAsia"/>
              <w:sz w:val="24"/>
              <w:szCs w:val="24"/>
              <w:lang w:val="en-US"/>
            </w:rPr>
          </w:pPr>
          <w:hyperlink w:anchor="_Toc454366455">
            <w:r>
              <w:rPr>
                <w:webHidden/>
                <w:rStyle w:val="Style14"/>
                <w:vanish w:val="false"/>
              </w:rPr>
              <w:t>2.2</w:t>
            </w:r>
            <w:r>
              <w:rPr>
                <w:rStyle w:val="Style14"/>
                <w:rFonts w:eastAsia="" w:eastAsiaTheme="minorEastAsia"/>
                <w:sz w:val="24"/>
                <w:szCs w:val="24"/>
                <w:lang w:val="en-US"/>
              </w:rPr>
              <w:tab/>
            </w:r>
            <w:r>
              <w:rPr>
                <w:rStyle w:val="Style14"/>
              </w:rPr>
              <w:t>Actions taken to promote certification amongst feedstock supplier</w:t>
            </w:r>
            <w:r>
              <w:rPr>
                <w:webHidden/>
              </w:rPr>
              <w:fldChar w:fldCharType="begin"/>
            </w:r>
            <w:r>
              <w:rPr>
                <w:webHidden/>
              </w:rPr>
              <w:instrText>PAGEREF _Toc454366455 \h</w:instrText>
            </w:r>
            <w:r>
              <w:rPr>
                <w:webHidden/>
              </w:rPr>
              <w:fldChar w:fldCharType="separate"/>
            </w:r>
            <w:r>
              <w:rPr>
                <w:rStyle w:val="Style14"/>
                <w:vanish w:val="false"/>
              </w:rPr>
              <w:tab/>
              <w:t>2</w:t>
            </w:r>
            <w:r>
              <w:rPr>
                <w:webHidden/>
              </w:rPr>
              <w:fldChar w:fldCharType="end"/>
            </w:r>
          </w:hyperlink>
        </w:p>
        <w:p>
          <w:pPr>
            <w:pStyle w:val="22"/>
            <w:rPr>
              <w:rFonts w:eastAsia="" w:eastAsiaTheme="minorEastAsia"/>
              <w:sz w:val="24"/>
              <w:szCs w:val="24"/>
              <w:lang w:val="en-US"/>
            </w:rPr>
          </w:pPr>
          <w:hyperlink w:anchor="_Toc454366456">
            <w:r>
              <w:rPr>
                <w:webHidden/>
                <w:rStyle w:val="Style14"/>
                <w:vanish w:val="false"/>
              </w:rPr>
              <w:t>2.3</w:t>
            </w:r>
            <w:r>
              <w:rPr>
                <w:rStyle w:val="Style14"/>
                <w:rFonts w:eastAsia="" w:eastAsiaTheme="minorEastAsia"/>
                <w:sz w:val="24"/>
                <w:szCs w:val="24"/>
                <w:lang w:val="en-US"/>
              </w:rPr>
              <w:tab/>
            </w:r>
            <w:r>
              <w:rPr>
                <w:rStyle w:val="Style14"/>
              </w:rPr>
              <w:t>Final harvest sampling programme</w:t>
            </w:r>
            <w:r>
              <w:rPr>
                <w:webHidden/>
              </w:rPr>
              <w:fldChar w:fldCharType="begin"/>
            </w:r>
            <w:r>
              <w:rPr>
                <w:webHidden/>
              </w:rPr>
              <w:instrText>PAGEREF _Toc454366456 \h</w:instrText>
            </w:r>
            <w:r>
              <w:rPr>
                <w:webHidden/>
              </w:rPr>
              <w:fldChar w:fldCharType="separate"/>
            </w:r>
            <w:r>
              <w:rPr>
                <w:rStyle w:val="Style14"/>
                <w:vanish w:val="false"/>
              </w:rPr>
              <w:tab/>
              <w:t>2</w:t>
            </w:r>
            <w:r>
              <w:rPr>
                <w:webHidden/>
              </w:rPr>
              <w:fldChar w:fldCharType="end"/>
            </w:r>
          </w:hyperlink>
        </w:p>
        <w:p>
          <w:pPr>
            <w:pStyle w:val="22"/>
            <w:rPr>
              <w:rFonts w:eastAsia="" w:eastAsiaTheme="minorEastAsia"/>
              <w:sz w:val="24"/>
              <w:szCs w:val="24"/>
              <w:lang w:val="en-US"/>
            </w:rPr>
          </w:pPr>
          <w:hyperlink w:anchor="_Toc454366457">
            <w:r>
              <w:rPr>
                <w:webHidden/>
                <w:rStyle w:val="Style14"/>
                <w:vanish w:val="false"/>
              </w:rPr>
              <w:t>2.4</w:t>
            </w:r>
            <w:r>
              <w:rPr>
                <w:rStyle w:val="Style14"/>
                <w:rFonts w:eastAsia="" w:eastAsiaTheme="minorEastAsia"/>
                <w:sz w:val="24"/>
                <w:szCs w:val="24"/>
                <w:lang w:val="en-US"/>
              </w:rPr>
              <w:tab/>
            </w:r>
            <w:r>
              <w:rPr>
                <w:rStyle w:val="Style14"/>
              </w:rPr>
              <w:t>Flow diagram of feedstock inputs showing feedstock type [optional]</w:t>
            </w:r>
            <w:r>
              <w:rPr>
                <w:webHidden/>
              </w:rPr>
              <w:fldChar w:fldCharType="begin"/>
            </w:r>
            <w:r>
              <w:rPr>
                <w:webHidden/>
              </w:rPr>
              <w:instrText>PAGEREF _Toc454366457 \h</w:instrText>
            </w:r>
            <w:r>
              <w:rPr>
                <w:webHidden/>
              </w:rPr>
              <w:fldChar w:fldCharType="separate"/>
            </w:r>
            <w:r>
              <w:rPr>
                <w:rStyle w:val="Style14"/>
                <w:vanish w:val="false"/>
              </w:rPr>
              <w:tab/>
              <w:t>2</w:t>
            </w:r>
            <w:r>
              <w:rPr>
                <w:webHidden/>
              </w:rPr>
              <w:fldChar w:fldCharType="end"/>
            </w:r>
          </w:hyperlink>
        </w:p>
        <w:p>
          <w:pPr>
            <w:pStyle w:val="22"/>
            <w:rPr>
              <w:rFonts w:eastAsia="" w:eastAsiaTheme="minorEastAsia"/>
              <w:sz w:val="24"/>
              <w:szCs w:val="24"/>
              <w:lang w:val="en-US"/>
            </w:rPr>
          </w:pPr>
          <w:hyperlink w:anchor="_Toc454366458">
            <w:r>
              <w:rPr>
                <w:webHidden/>
                <w:rStyle w:val="Style14"/>
                <w:vanish w:val="false"/>
              </w:rPr>
              <w:t>2.5</w:t>
            </w:r>
            <w:r>
              <w:rPr>
                <w:rStyle w:val="Style14"/>
                <w:rFonts w:eastAsia="" w:eastAsiaTheme="minorEastAsia"/>
                <w:sz w:val="24"/>
                <w:szCs w:val="24"/>
                <w:lang w:val="en-US"/>
              </w:rPr>
              <w:tab/>
            </w:r>
            <w:r>
              <w:rPr>
                <w:rStyle w:val="Style14"/>
              </w:rPr>
              <w:t>Quantification of the Supply Base</w:t>
            </w:r>
            <w:r>
              <w:rPr>
                <w:webHidden/>
              </w:rPr>
              <w:fldChar w:fldCharType="begin"/>
            </w:r>
            <w:r>
              <w:rPr>
                <w:webHidden/>
              </w:rPr>
              <w:instrText>PAGEREF _Toc454366458 \h</w:instrText>
            </w:r>
            <w:r>
              <w:rPr>
                <w:webHidden/>
              </w:rPr>
              <w:fldChar w:fldCharType="separate"/>
            </w:r>
            <w:r>
              <w:rPr>
                <w:rStyle w:val="Style14"/>
                <w:vanish w:val="false"/>
              </w:rPr>
              <w:tab/>
              <w:t>2</w:t>
            </w:r>
            <w:r>
              <w:rPr>
                <w:webHidden/>
              </w:rPr>
              <w:fldChar w:fldCharType="end"/>
            </w:r>
          </w:hyperlink>
        </w:p>
        <w:p>
          <w:pPr>
            <w:pStyle w:val="13"/>
            <w:rPr>
              <w:rFonts w:eastAsia="" w:eastAsiaTheme="minorEastAsia"/>
              <w:sz w:val="24"/>
              <w:szCs w:val="24"/>
              <w:lang w:val="en-US"/>
            </w:rPr>
          </w:pPr>
          <w:hyperlink w:anchor="_Toc454366459">
            <w:r>
              <w:rPr>
                <w:webHidden/>
                <w:rStyle w:val="Style14"/>
                <w:vanish w:val="false"/>
              </w:rPr>
              <w:t>3</w:t>
            </w:r>
            <w:r>
              <w:rPr>
                <w:rStyle w:val="Style14"/>
                <w:rFonts w:eastAsia="" w:eastAsiaTheme="minorEastAsia"/>
                <w:sz w:val="24"/>
                <w:szCs w:val="24"/>
                <w:lang w:val="en-US"/>
              </w:rPr>
              <w:tab/>
            </w:r>
            <w:r>
              <w:rPr>
                <w:rStyle w:val="Style14"/>
              </w:rPr>
              <w:t>Requirement for a Supply Base Evaluation</w:t>
            </w:r>
            <w:r>
              <w:rPr>
                <w:webHidden/>
              </w:rPr>
              <w:fldChar w:fldCharType="begin"/>
            </w:r>
            <w:r>
              <w:rPr>
                <w:webHidden/>
              </w:rPr>
              <w:instrText>PAGEREF _Toc454366459 \h</w:instrText>
            </w:r>
            <w:r>
              <w:rPr>
                <w:webHidden/>
              </w:rPr>
              <w:fldChar w:fldCharType="separate"/>
            </w:r>
            <w:r>
              <w:rPr>
                <w:rStyle w:val="Style14"/>
                <w:vanish w:val="false"/>
              </w:rPr>
              <w:tab/>
              <w:t>5</w:t>
            </w:r>
            <w:r>
              <w:rPr>
                <w:webHidden/>
              </w:rPr>
              <w:fldChar w:fldCharType="end"/>
            </w:r>
          </w:hyperlink>
        </w:p>
        <w:p>
          <w:pPr>
            <w:pStyle w:val="13"/>
            <w:rPr>
              <w:rFonts w:eastAsia="" w:eastAsiaTheme="minorEastAsia"/>
              <w:sz w:val="24"/>
              <w:szCs w:val="24"/>
              <w:lang w:val="en-US"/>
            </w:rPr>
          </w:pPr>
          <w:hyperlink w:anchor="_Toc454366460">
            <w:r>
              <w:rPr>
                <w:webHidden/>
                <w:rStyle w:val="Style14"/>
                <w:vanish w:val="false"/>
              </w:rPr>
              <w:t>4</w:t>
            </w:r>
            <w:r>
              <w:rPr>
                <w:rStyle w:val="Style14"/>
                <w:rFonts w:eastAsia="" w:eastAsiaTheme="minorEastAsia"/>
                <w:sz w:val="24"/>
                <w:szCs w:val="24"/>
                <w:lang w:val="en-US"/>
              </w:rPr>
              <w:tab/>
            </w:r>
            <w:r>
              <w:rPr>
                <w:rStyle w:val="Style14"/>
              </w:rPr>
              <w:t>Supply Base Evaluation</w:t>
            </w:r>
            <w:r>
              <w:rPr>
                <w:webHidden/>
              </w:rPr>
              <w:fldChar w:fldCharType="begin"/>
            </w:r>
            <w:r>
              <w:rPr>
                <w:webHidden/>
              </w:rPr>
              <w:instrText>PAGEREF _Toc454366460 \h</w:instrText>
            </w:r>
            <w:r>
              <w:rPr>
                <w:webHidden/>
              </w:rPr>
              <w:fldChar w:fldCharType="separate"/>
            </w:r>
            <w:r>
              <w:rPr>
                <w:rStyle w:val="Style14"/>
                <w:vanish w:val="false"/>
              </w:rPr>
              <w:tab/>
              <w:t>6</w:t>
            </w:r>
            <w:r>
              <w:rPr>
                <w:webHidden/>
              </w:rPr>
              <w:fldChar w:fldCharType="end"/>
            </w:r>
          </w:hyperlink>
        </w:p>
        <w:p>
          <w:pPr>
            <w:pStyle w:val="22"/>
            <w:rPr>
              <w:rFonts w:eastAsia="" w:eastAsiaTheme="minorEastAsia"/>
              <w:sz w:val="24"/>
              <w:szCs w:val="24"/>
              <w:lang w:val="en-US"/>
            </w:rPr>
          </w:pPr>
          <w:hyperlink w:anchor="_Toc454366461">
            <w:r>
              <w:rPr>
                <w:webHidden/>
                <w:rStyle w:val="Style14"/>
                <w:vanish w:val="false"/>
              </w:rPr>
              <w:t>4.1</w:t>
            </w:r>
            <w:r>
              <w:rPr>
                <w:rStyle w:val="Style14"/>
                <w:rFonts w:eastAsia="" w:eastAsiaTheme="minorEastAsia"/>
                <w:sz w:val="24"/>
                <w:szCs w:val="24"/>
                <w:lang w:val="en-US"/>
              </w:rPr>
              <w:tab/>
            </w:r>
            <w:r>
              <w:rPr>
                <w:rStyle w:val="Style14"/>
              </w:rPr>
              <w:t>Scope</w:t>
            </w:r>
            <w:r>
              <w:rPr>
                <w:webHidden/>
              </w:rPr>
              <w:fldChar w:fldCharType="begin"/>
            </w:r>
            <w:r>
              <w:rPr>
                <w:webHidden/>
              </w:rPr>
              <w:instrText>PAGEREF _Toc454366461 \h</w:instrText>
            </w:r>
            <w:r>
              <w:rPr>
                <w:webHidden/>
              </w:rPr>
              <w:fldChar w:fldCharType="separate"/>
            </w:r>
            <w:r>
              <w:rPr>
                <w:rStyle w:val="Style14"/>
                <w:vanish w:val="false"/>
              </w:rPr>
              <w:tab/>
              <w:t>6</w:t>
            </w:r>
            <w:r>
              <w:rPr>
                <w:webHidden/>
              </w:rPr>
              <w:fldChar w:fldCharType="end"/>
            </w:r>
          </w:hyperlink>
        </w:p>
        <w:p>
          <w:pPr>
            <w:pStyle w:val="22"/>
            <w:rPr>
              <w:rFonts w:eastAsia="" w:eastAsiaTheme="minorEastAsia"/>
              <w:sz w:val="24"/>
              <w:szCs w:val="24"/>
              <w:lang w:val="en-US"/>
            </w:rPr>
          </w:pPr>
          <w:hyperlink w:anchor="_Toc454366462">
            <w:r>
              <w:rPr>
                <w:webHidden/>
                <w:rStyle w:val="Style14"/>
                <w:vanish w:val="false"/>
              </w:rPr>
              <w:t>4.2</w:t>
            </w:r>
            <w:r>
              <w:rPr>
                <w:rStyle w:val="Style14"/>
                <w:rFonts w:eastAsia="" w:eastAsiaTheme="minorEastAsia"/>
                <w:sz w:val="24"/>
                <w:szCs w:val="24"/>
                <w:lang w:val="en-US"/>
              </w:rPr>
              <w:tab/>
            </w:r>
            <w:r>
              <w:rPr>
                <w:rStyle w:val="Style14"/>
              </w:rPr>
              <w:t>Justification</w:t>
            </w:r>
            <w:r>
              <w:rPr>
                <w:webHidden/>
              </w:rPr>
              <w:fldChar w:fldCharType="begin"/>
            </w:r>
            <w:r>
              <w:rPr>
                <w:webHidden/>
              </w:rPr>
              <w:instrText>PAGEREF _Toc454366462 \h</w:instrText>
            </w:r>
            <w:r>
              <w:rPr>
                <w:webHidden/>
              </w:rPr>
              <w:fldChar w:fldCharType="separate"/>
            </w:r>
            <w:r>
              <w:rPr>
                <w:rStyle w:val="Style14"/>
                <w:vanish w:val="false"/>
              </w:rPr>
              <w:tab/>
              <w:t>6</w:t>
            </w:r>
            <w:r>
              <w:rPr>
                <w:webHidden/>
              </w:rPr>
              <w:fldChar w:fldCharType="end"/>
            </w:r>
          </w:hyperlink>
        </w:p>
        <w:p>
          <w:pPr>
            <w:pStyle w:val="22"/>
            <w:rPr>
              <w:rFonts w:eastAsia="" w:eastAsiaTheme="minorEastAsia"/>
              <w:sz w:val="24"/>
              <w:szCs w:val="24"/>
              <w:lang w:val="en-US"/>
            </w:rPr>
          </w:pPr>
          <w:hyperlink w:anchor="_Toc454366463">
            <w:r>
              <w:rPr>
                <w:webHidden/>
                <w:rStyle w:val="Style14"/>
                <w:vanish w:val="false"/>
              </w:rPr>
              <w:t>4.3</w:t>
            </w:r>
            <w:r>
              <w:rPr>
                <w:rStyle w:val="Style14"/>
                <w:rFonts w:eastAsia="" w:eastAsiaTheme="minorEastAsia"/>
                <w:sz w:val="24"/>
                <w:szCs w:val="24"/>
                <w:lang w:val="en-US"/>
              </w:rPr>
              <w:tab/>
            </w:r>
            <w:r>
              <w:rPr>
                <w:rStyle w:val="Style14"/>
              </w:rPr>
              <w:t>Results of Risk Assessment</w:t>
            </w:r>
            <w:r>
              <w:rPr>
                <w:webHidden/>
              </w:rPr>
              <w:fldChar w:fldCharType="begin"/>
            </w:r>
            <w:r>
              <w:rPr>
                <w:webHidden/>
              </w:rPr>
              <w:instrText>PAGEREF _Toc454366463 \h</w:instrText>
            </w:r>
            <w:r>
              <w:rPr>
                <w:webHidden/>
              </w:rPr>
              <w:fldChar w:fldCharType="separate"/>
            </w:r>
            <w:r>
              <w:rPr>
                <w:rStyle w:val="Style14"/>
                <w:vanish w:val="false"/>
              </w:rPr>
              <w:tab/>
              <w:t>6</w:t>
            </w:r>
            <w:r>
              <w:rPr>
                <w:webHidden/>
              </w:rPr>
              <w:fldChar w:fldCharType="end"/>
            </w:r>
          </w:hyperlink>
        </w:p>
        <w:p>
          <w:pPr>
            <w:pStyle w:val="22"/>
            <w:rPr>
              <w:rFonts w:eastAsia="" w:eastAsiaTheme="minorEastAsia"/>
              <w:sz w:val="24"/>
              <w:szCs w:val="24"/>
              <w:lang w:val="en-US"/>
            </w:rPr>
          </w:pPr>
          <w:hyperlink w:anchor="_Toc454366464">
            <w:r>
              <w:rPr>
                <w:webHidden/>
                <w:rStyle w:val="Style14"/>
                <w:vanish w:val="false"/>
              </w:rPr>
              <w:t>4.4</w:t>
            </w:r>
            <w:r>
              <w:rPr>
                <w:rStyle w:val="Style14"/>
                <w:rFonts w:eastAsia="" w:eastAsiaTheme="minorEastAsia"/>
                <w:sz w:val="24"/>
                <w:szCs w:val="24"/>
                <w:lang w:val="en-US"/>
              </w:rPr>
              <w:tab/>
            </w:r>
            <w:r>
              <w:rPr>
                <w:rStyle w:val="Style14"/>
              </w:rPr>
              <w:t>Results of Supplier Verification Programme</w:t>
            </w:r>
            <w:r>
              <w:rPr>
                <w:webHidden/>
              </w:rPr>
              <w:fldChar w:fldCharType="begin"/>
            </w:r>
            <w:r>
              <w:rPr>
                <w:webHidden/>
              </w:rPr>
              <w:instrText>PAGEREF _Toc454366464 \h</w:instrText>
            </w:r>
            <w:r>
              <w:rPr>
                <w:webHidden/>
              </w:rPr>
              <w:fldChar w:fldCharType="separate"/>
            </w:r>
            <w:r>
              <w:rPr>
                <w:rStyle w:val="Style14"/>
                <w:vanish w:val="false"/>
              </w:rPr>
              <w:tab/>
              <w:t>6</w:t>
            </w:r>
            <w:r>
              <w:rPr>
                <w:webHidden/>
              </w:rPr>
              <w:fldChar w:fldCharType="end"/>
            </w:r>
          </w:hyperlink>
        </w:p>
        <w:p>
          <w:pPr>
            <w:pStyle w:val="22"/>
            <w:rPr>
              <w:rFonts w:eastAsia="" w:eastAsiaTheme="minorEastAsia"/>
              <w:sz w:val="24"/>
              <w:szCs w:val="24"/>
              <w:lang w:val="en-US"/>
            </w:rPr>
          </w:pPr>
          <w:hyperlink w:anchor="_Toc454366465">
            <w:r>
              <w:rPr>
                <w:webHidden/>
                <w:rStyle w:val="Style14"/>
                <w:vanish w:val="false"/>
              </w:rPr>
              <w:t>4.5</w:t>
            </w:r>
            <w:r>
              <w:rPr>
                <w:rStyle w:val="Style14"/>
                <w:rFonts w:eastAsia="" w:eastAsiaTheme="minorEastAsia"/>
                <w:sz w:val="24"/>
                <w:szCs w:val="24"/>
                <w:lang w:val="en-US"/>
              </w:rPr>
              <w:tab/>
            </w:r>
            <w:r>
              <w:rPr>
                <w:rStyle w:val="Style14"/>
              </w:rPr>
              <w:t>Conclusion</w:t>
            </w:r>
            <w:r>
              <w:rPr>
                <w:webHidden/>
              </w:rPr>
              <w:fldChar w:fldCharType="begin"/>
            </w:r>
            <w:r>
              <w:rPr>
                <w:webHidden/>
              </w:rPr>
              <w:instrText>PAGEREF _Toc454366465 \h</w:instrText>
            </w:r>
            <w:r>
              <w:rPr>
                <w:webHidden/>
              </w:rPr>
              <w:fldChar w:fldCharType="separate"/>
            </w:r>
            <w:r>
              <w:rPr>
                <w:rStyle w:val="Style14"/>
                <w:vanish w:val="false"/>
              </w:rPr>
              <w:tab/>
              <w:t>6</w:t>
            </w:r>
            <w:r>
              <w:rPr>
                <w:webHidden/>
              </w:rPr>
              <w:fldChar w:fldCharType="end"/>
            </w:r>
          </w:hyperlink>
        </w:p>
        <w:p>
          <w:pPr>
            <w:pStyle w:val="13"/>
            <w:rPr>
              <w:rFonts w:eastAsia="" w:eastAsiaTheme="minorEastAsia"/>
              <w:sz w:val="24"/>
              <w:szCs w:val="24"/>
              <w:lang w:val="en-US"/>
            </w:rPr>
          </w:pPr>
          <w:hyperlink w:anchor="_Toc454366466">
            <w:r>
              <w:rPr>
                <w:webHidden/>
                <w:rStyle w:val="Style14"/>
                <w:vanish w:val="false"/>
              </w:rPr>
              <w:t>5</w:t>
            </w:r>
            <w:r>
              <w:rPr>
                <w:rStyle w:val="Style14"/>
                <w:rFonts w:eastAsia="" w:eastAsiaTheme="minorEastAsia"/>
                <w:sz w:val="24"/>
                <w:szCs w:val="24"/>
                <w:lang w:val="en-US"/>
              </w:rPr>
              <w:tab/>
            </w:r>
            <w:r>
              <w:rPr>
                <w:rStyle w:val="Style14"/>
              </w:rPr>
              <w:t>Supply Base Evaluation Process</w:t>
            </w:r>
            <w:r>
              <w:rPr>
                <w:webHidden/>
              </w:rPr>
              <w:fldChar w:fldCharType="begin"/>
            </w:r>
            <w:r>
              <w:rPr>
                <w:webHidden/>
              </w:rPr>
              <w:instrText>PAGEREF _Toc454366466 \h</w:instrText>
            </w:r>
            <w:r>
              <w:rPr>
                <w:webHidden/>
              </w:rPr>
              <w:fldChar w:fldCharType="separate"/>
            </w:r>
            <w:r>
              <w:rPr>
                <w:rStyle w:val="Style14"/>
                <w:vanish w:val="false"/>
              </w:rPr>
              <w:tab/>
              <w:t>7</w:t>
            </w:r>
            <w:r>
              <w:rPr>
                <w:webHidden/>
              </w:rPr>
              <w:fldChar w:fldCharType="end"/>
            </w:r>
          </w:hyperlink>
        </w:p>
        <w:p>
          <w:pPr>
            <w:pStyle w:val="13"/>
            <w:rPr>
              <w:rFonts w:eastAsia="" w:eastAsiaTheme="minorEastAsia"/>
              <w:sz w:val="24"/>
              <w:szCs w:val="24"/>
              <w:lang w:val="en-US"/>
            </w:rPr>
          </w:pPr>
          <w:hyperlink w:anchor="_Toc454366467">
            <w:r>
              <w:rPr>
                <w:webHidden/>
                <w:rStyle w:val="Style14"/>
                <w:vanish w:val="false"/>
              </w:rPr>
              <w:t>6</w:t>
            </w:r>
            <w:r>
              <w:rPr>
                <w:rStyle w:val="Style14"/>
                <w:rFonts w:eastAsia="" w:eastAsiaTheme="minorEastAsia"/>
                <w:sz w:val="24"/>
                <w:szCs w:val="24"/>
                <w:lang w:val="en-US"/>
              </w:rPr>
              <w:tab/>
            </w:r>
            <w:r>
              <w:rPr>
                <w:rStyle w:val="Style14"/>
              </w:rPr>
              <w:t>Stakeholder Consultation</w:t>
            </w:r>
            <w:r>
              <w:rPr>
                <w:webHidden/>
              </w:rPr>
              <w:fldChar w:fldCharType="begin"/>
            </w:r>
            <w:r>
              <w:rPr>
                <w:webHidden/>
              </w:rPr>
              <w:instrText>PAGEREF _Toc454366467 \h</w:instrText>
            </w:r>
            <w:r>
              <w:rPr>
                <w:webHidden/>
              </w:rPr>
              <w:fldChar w:fldCharType="separate"/>
            </w:r>
            <w:r>
              <w:rPr>
                <w:rStyle w:val="Style14"/>
                <w:vanish w:val="false"/>
              </w:rPr>
              <w:tab/>
              <w:t>8</w:t>
            </w:r>
            <w:r>
              <w:rPr>
                <w:webHidden/>
              </w:rPr>
              <w:fldChar w:fldCharType="end"/>
            </w:r>
          </w:hyperlink>
        </w:p>
        <w:p>
          <w:pPr>
            <w:pStyle w:val="22"/>
            <w:rPr>
              <w:rFonts w:eastAsia="" w:eastAsiaTheme="minorEastAsia"/>
              <w:sz w:val="24"/>
              <w:szCs w:val="24"/>
              <w:lang w:val="en-US"/>
            </w:rPr>
          </w:pPr>
          <w:hyperlink w:anchor="_Toc454366468">
            <w:r>
              <w:rPr>
                <w:webHidden/>
                <w:rStyle w:val="Style14"/>
                <w:vanish w:val="false"/>
              </w:rPr>
              <w:t>6.1</w:t>
            </w:r>
            <w:r>
              <w:rPr>
                <w:rStyle w:val="Style14"/>
                <w:rFonts w:eastAsia="" w:eastAsiaTheme="minorEastAsia"/>
                <w:sz w:val="24"/>
                <w:szCs w:val="24"/>
                <w:lang w:val="en-US"/>
              </w:rPr>
              <w:tab/>
            </w:r>
            <w:r>
              <w:rPr>
                <w:rStyle w:val="Style14"/>
              </w:rPr>
              <w:t>Response to stakeholder comments</w:t>
            </w:r>
            <w:r>
              <w:rPr>
                <w:webHidden/>
              </w:rPr>
              <w:fldChar w:fldCharType="begin"/>
            </w:r>
            <w:r>
              <w:rPr>
                <w:webHidden/>
              </w:rPr>
              <w:instrText>PAGEREF _Toc454366468 \h</w:instrText>
            </w:r>
            <w:r>
              <w:rPr>
                <w:webHidden/>
              </w:rPr>
              <w:fldChar w:fldCharType="separate"/>
            </w:r>
            <w:r>
              <w:rPr>
                <w:rStyle w:val="Style14"/>
                <w:vanish w:val="false"/>
              </w:rPr>
              <w:tab/>
              <w:t>8</w:t>
            </w:r>
            <w:r>
              <w:rPr>
                <w:webHidden/>
              </w:rPr>
              <w:fldChar w:fldCharType="end"/>
            </w:r>
          </w:hyperlink>
        </w:p>
        <w:p>
          <w:pPr>
            <w:pStyle w:val="13"/>
            <w:rPr>
              <w:rFonts w:eastAsia="" w:eastAsiaTheme="minorEastAsia"/>
              <w:sz w:val="24"/>
              <w:szCs w:val="24"/>
              <w:lang w:val="en-US"/>
            </w:rPr>
          </w:pPr>
          <w:hyperlink w:anchor="_Toc454366469">
            <w:r>
              <w:rPr>
                <w:webHidden/>
                <w:rStyle w:val="Style14"/>
                <w:vanish w:val="false"/>
              </w:rPr>
              <w:t>7</w:t>
            </w:r>
            <w:r>
              <w:rPr>
                <w:rStyle w:val="Style14"/>
                <w:rFonts w:eastAsia="" w:eastAsiaTheme="minorEastAsia"/>
                <w:sz w:val="24"/>
                <w:szCs w:val="24"/>
                <w:lang w:val="en-US"/>
              </w:rPr>
              <w:tab/>
            </w:r>
            <w:r>
              <w:rPr>
                <w:rStyle w:val="Style14"/>
              </w:rPr>
              <w:t>Overview of Initial Assessment of Risk</w:t>
            </w:r>
            <w:r>
              <w:rPr>
                <w:webHidden/>
              </w:rPr>
              <w:fldChar w:fldCharType="begin"/>
            </w:r>
            <w:r>
              <w:rPr>
                <w:webHidden/>
              </w:rPr>
              <w:instrText>PAGEREF _Toc454366469 \h</w:instrText>
            </w:r>
            <w:r>
              <w:rPr>
                <w:webHidden/>
              </w:rPr>
              <w:fldChar w:fldCharType="separate"/>
            </w:r>
            <w:r>
              <w:rPr>
                <w:rStyle w:val="Style14"/>
                <w:vanish w:val="false"/>
              </w:rPr>
              <w:tab/>
              <w:t>9</w:t>
            </w:r>
            <w:r>
              <w:rPr>
                <w:webHidden/>
              </w:rPr>
              <w:fldChar w:fldCharType="end"/>
            </w:r>
          </w:hyperlink>
        </w:p>
        <w:p>
          <w:pPr>
            <w:pStyle w:val="13"/>
            <w:rPr>
              <w:rFonts w:eastAsia="" w:eastAsiaTheme="minorEastAsia"/>
              <w:sz w:val="24"/>
              <w:szCs w:val="24"/>
              <w:lang w:val="en-US"/>
            </w:rPr>
          </w:pPr>
          <w:hyperlink w:anchor="_Toc454366470">
            <w:r>
              <w:rPr>
                <w:webHidden/>
                <w:rStyle w:val="Style14"/>
                <w:vanish w:val="false"/>
              </w:rPr>
              <w:t>8</w:t>
            </w:r>
            <w:r>
              <w:rPr>
                <w:rStyle w:val="Style14"/>
                <w:rFonts w:eastAsia="" w:eastAsiaTheme="minorEastAsia"/>
                <w:sz w:val="24"/>
                <w:szCs w:val="24"/>
                <w:lang w:val="en-US"/>
              </w:rPr>
              <w:tab/>
            </w:r>
            <w:r>
              <w:rPr>
                <w:rStyle w:val="Style14"/>
              </w:rPr>
              <w:t>Supplier Verification Programme</w:t>
            </w:r>
            <w:r>
              <w:rPr>
                <w:webHidden/>
              </w:rPr>
              <w:fldChar w:fldCharType="begin"/>
            </w:r>
            <w:r>
              <w:rPr>
                <w:webHidden/>
              </w:rPr>
              <w:instrText>PAGEREF _Toc454366470 \h</w:instrText>
            </w:r>
            <w:r>
              <w:rPr>
                <w:webHidden/>
              </w:rPr>
              <w:fldChar w:fldCharType="separate"/>
            </w:r>
            <w:r>
              <w:rPr>
                <w:rStyle w:val="Style14"/>
                <w:vanish w:val="false"/>
              </w:rPr>
              <w:tab/>
              <w:t>10</w:t>
            </w:r>
            <w:r>
              <w:rPr>
                <w:webHidden/>
              </w:rPr>
              <w:fldChar w:fldCharType="end"/>
            </w:r>
          </w:hyperlink>
        </w:p>
        <w:p>
          <w:pPr>
            <w:pStyle w:val="22"/>
            <w:rPr>
              <w:rFonts w:eastAsia="" w:eastAsiaTheme="minorEastAsia"/>
              <w:sz w:val="24"/>
              <w:szCs w:val="24"/>
              <w:lang w:val="en-US"/>
            </w:rPr>
          </w:pPr>
          <w:hyperlink w:anchor="_Toc454366471">
            <w:r>
              <w:rPr>
                <w:webHidden/>
                <w:rStyle w:val="Style14"/>
                <w:vanish w:val="false"/>
              </w:rPr>
              <w:t>8.1</w:t>
            </w:r>
            <w:r>
              <w:rPr>
                <w:rStyle w:val="Style14"/>
                <w:rFonts w:eastAsia="" w:eastAsiaTheme="minorEastAsia"/>
                <w:sz w:val="24"/>
                <w:szCs w:val="24"/>
                <w:lang w:val="en-US"/>
              </w:rPr>
              <w:tab/>
            </w:r>
            <w:r>
              <w:rPr>
                <w:rStyle w:val="Style14"/>
              </w:rPr>
              <w:t>Description of the Supplier Verification Programme</w:t>
            </w:r>
            <w:r>
              <w:rPr>
                <w:webHidden/>
              </w:rPr>
              <w:fldChar w:fldCharType="begin"/>
            </w:r>
            <w:r>
              <w:rPr>
                <w:webHidden/>
              </w:rPr>
              <w:instrText>PAGEREF _Toc454366471 \h</w:instrText>
            </w:r>
            <w:r>
              <w:rPr>
                <w:webHidden/>
              </w:rPr>
              <w:fldChar w:fldCharType="separate"/>
            </w:r>
            <w:r>
              <w:rPr>
                <w:rStyle w:val="Style14"/>
                <w:vanish w:val="false"/>
              </w:rPr>
              <w:tab/>
              <w:t>10</w:t>
            </w:r>
            <w:r>
              <w:rPr>
                <w:webHidden/>
              </w:rPr>
              <w:fldChar w:fldCharType="end"/>
            </w:r>
          </w:hyperlink>
        </w:p>
        <w:p>
          <w:pPr>
            <w:pStyle w:val="22"/>
            <w:rPr>
              <w:rFonts w:eastAsia="" w:eastAsiaTheme="minorEastAsia"/>
              <w:sz w:val="24"/>
              <w:szCs w:val="24"/>
              <w:lang w:val="en-US"/>
            </w:rPr>
          </w:pPr>
          <w:hyperlink w:anchor="_Toc454366472">
            <w:r>
              <w:rPr>
                <w:webHidden/>
                <w:rStyle w:val="Style14"/>
                <w:vanish w:val="false"/>
              </w:rPr>
              <w:t>8.2</w:t>
            </w:r>
            <w:r>
              <w:rPr>
                <w:rStyle w:val="Style14"/>
                <w:rFonts w:eastAsia="" w:eastAsiaTheme="minorEastAsia"/>
                <w:sz w:val="24"/>
                <w:szCs w:val="24"/>
                <w:lang w:val="en-US"/>
              </w:rPr>
              <w:tab/>
            </w:r>
            <w:r>
              <w:rPr>
                <w:rStyle w:val="Style14"/>
              </w:rPr>
              <w:t>Site visits</w:t>
            </w:r>
            <w:r>
              <w:rPr>
                <w:webHidden/>
              </w:rPr>
              <w:fldChar w:fldCharType="begin"/>
            </w:r>
            <w:r>
              <w:rPr>
                <w:webHidden/>
              </w:rPr>
              <w:instrText>PAGEREF _Toc454366472 \h</w:instrText>
            </w:r>
            <w:r>
              <w:rPr>
                <w:webHidden/>
              </w:rPr>
              <w:fldChar w:fldCharType="separate"/>
            </w:r>
            <w:r>
              <w:rPr>
                <w:rStyle w:val="Style14"/>
                <w:vanish w:val="false"/>
              </w:rPr>
              <w:tab/>
              <w:t>10</w:t>
            </w:r>
            <w:r>
              <w:rPr>
                <w:webHidden/>
              </w:rPr>
              <w:fldChar w:fldCharType="end"/>
            </w:r>
          </w:hyperlink>
        </w:p>
        <w:p>
          <w:pPr>
            <w:pStyle w:val="22"/>
            <w:rPr>
              <w:rFonts w:eastAsia="" w:eastAsiaTheme="minorEastAsia"/>
              <w:sz w:val="24"/>
              <w:szCs w:val="24"/>
              <w:lang w:val="en-US"/>
            </w:rPr>
          </w:pPr>
          <w:hyperlink w:anchor="_Toc454366473">
            <w:r>
              <w:rPr>
                <w:webHidden/>
                <w:rStyle w:val="Style14"/>
                <w:vanish w:val="false"/>
              </w:rPr>
              <w:t>8.3</w:t>
            </w:r>
            <w:r>
              <w:rPr>
                <w:rStyle w:val="Style14"/>
                <w:rFonts w:eastAsia="" w:eastAsiaTheme="minorEastAsia"/>
                <w:sz w:val="24"/>
                <w:szCs w:val="24"/>
                <w:lang w:val="en-US"/>
              </w:rPr>
              <w:tab/>
            </w:r>
            <w:r>
              <w:rPr>
                <w:rStyle w:val="Style14"/>
              </w:rPr>
              <w:t>Conclusions from the Supplier Verification Programme</w:t>
            </w:r>
            <w:r>
              <w:rPr>
                <w:webHidden/>
              </w:rPr>
              <w:fldChar w:fldCharType="begin"/>
            </w:r>
            <w:r>
              <w:rPr>
                <w:webHidden/>
              </w:rPr>
              <w:instrText>PAGEREF _Toc454366473 \h</w:instrText>
            </w:r>
            <w:r>
              <w:rPr>
                <w:webHidden/>
              </w:rPr>
              <w:fldChar w:fldCharType="separate"/>
            </w:r>
            <w:r>
              <w:rPr>
                <w:rStyle w:val="Style14"/>
                <w:vanish w:val="false"/>
              </w:rPr>
              <w:tab/>
              <w:t>10</w:t>
            </w:r>
            <w:r>
              <w:rPr>
                <w:webHidden/>
              </w:rPr>
              <w:fldChar w:fldCharType="end"/>
            </w:r>
          </w:hyperlink>
        </w:p>
        <w:p>
          <w:pPr>
            <w:pStyle w:val="13"/>
            <w:rPr>
              <w:rFonts w:eastAsia="" w:eastAsiaTheme="minorEastAsia"/>
              <w:sz w:val="24"/>
              <w:szCs w:val="24"/>
              <w:lang w:val="en-US"/>
            </w:rPr>
          </w:pPr>
          <w:hyperlink w:anchor="_Toc454366474">
            <w:r>
              <w:rPr>
                <w:webHidden/>
                <w:rStyle w:val="Style14"/>
                <w:vanish w:val="false"/>
              </w:rPr>
              <w:t>9</w:t>
            </w:r>
            <w:r>
              <w:rPr>
                <w:rStyle w:val="Style14"/>
                <w:rFonts w:eastAsia="" w:eastAsiaTheme="minorEastAsia"/>
                <w:sz w:val="24"/>
                <w:szCs w:val="24"/>
                <w:lang w:val="en-US"/>
              </w:rPr>
              <w:tab/>
            </w:r>
            <w:r>
              <w:rPr>
                <w:rStyle w:val="Style14"/>
              </w:rPr>
              <w:t>Mitigation Measures</w:t>
            </w:r>
            <w:r>
              <w:rPr>
                <w:webHidden/>
              </w:rPr>
              <w:fldChar w:fldCharType="begin"/>
            </w:r>
            <w:r>
              <w:rPr>
                <w:webHidden/>
              </w:rPr>
              <w:instrText>PAGEREF _Toc454366474 \h</w:instrText>
            </w:r>
            <w:r>
              <w:rPr>
                <w:webHidden/>
              </w:rPr>
              <w:fldChar w:fldCharType="separate"/>
            </w:r>
            <w:r>
              <w:rPr>
                <w:rStyle w:val="Style14"/>
                <w:vanish w:val="false"/>
              </w:rPr>
              <w:tab/>
              <w:t>11</w:t>
            </w:r>
            <w:r>
              <w:rPr>
                <w:webHidden/>
              </w:rPr>
              <w:fldChar w:fldCharType="end"/>
            </w:r>
          </w:hyperlink>
        </w:p>
        <w:p>
          <w:pPr>
            <w:pStyle w:val="22"/>
            <w:rPr>
              <w:rFonts w:eastAsia="" w:eastAsiaTheme="minorEastAsia"/>
              <w:sz w:val="24"/>
              <w:szCs w:val="24"/>
              <w:lang w:val="en-US"/>
            </w:rPr>
          </w:pPr>
          <w:hyperlink w:anchor="_Toc454366475">
            <w:r>
              <w:rPr>
                <w:webHidden/>
                <w:rStyle w:val="Style14"/>
                <w:vanish w:val="false"/>
              </w:rPr>
              <w:t>9.1</w:t>
            </w:r>
            <w:r>
              <w:rPr>
                <w:rStyle w:val="Style14"/>
                <w:rFonts w:eastAsia="" w:eastAsiaTheme="minorEastAsia"/>
                <w:sz w:val="24"/>
                <w:szCs w:val="24"/>
                <w:lang w:val="en-US"/>
              </w:rPr>
              <w:tab/>
            </w:r>
            <w:r>
              <w:rPr>
                <w:rStyle w:val="Style14"/>
              </w:rPr>
              <w:t>Mitigation measures</w:t>
            </w:r>
            <w:r>
              <w:rPr>
                <w:webHidden/>
              </w:rPr>
              <w:fldChar w:fldCharType="begin"/>
            </w:r>
            <w:r>
              <w:rPr>
                <w:webHidden/>
              </w:rPr>
              <w:instrText>PAGEREF _Toc454366475 \h</w:instrText>
            </w:r>
            <w:r>
              <w:rPr>
                <w:webHidden/>
              </w:rPr>
              <w:fldChar w:fldCharType="separate"/>
            </w:r>
            <w:r>
              <w:rPr>
                <w:rStyle w:val="Style14"/>
                <w:vanish w:val="false"/>
              </w:rPr>
              <w:tab/>
              <w:t>11</w:t>
            </w:r>
            <w:r>
              <w:rPr>
                <w:webHidden/>
              </w:rPr>
              <w:fldChar w:fldCharType="end"/>
            </w:r>
          </w:hyperlink>
        </w:p>
        <w:p>
          <w:pPr>
            <w:pStyle w:val="22"/>
            <w:rPr>
              <w:rFonts w:eastAsia="" w:eastAsiaTheme="minorEastAsia"/>
              <w:sz w:val="24"/>
              <w:szCs w:val="24"/>
              <w:lang w:val="en-US"/>
            </w:rPr>
          </w:pPr>
          <w:hyperlink w:anchor="_Toc454366476">
            <w:r>
              <w:rPr>
                <w:webHidden/>
                <w:rStyle w:val="Style14"/>
                <w:vanish w:val="false"/>
              </w:rPr>
              <w:t>9.2</w:t>
            </w:r>
            <w:r>
              <w:rPr>
                <w:rStyle w:val="Style14"/>
                <w:rFonts w:eastAsia="" w:eastAsiaTheme="minorEastAsia"/>
                <w:sz w:val="24"/>
                <w:szCs w:val="24"/>
                <w:lang w:val="en-US"/>
              </w:rPr>
              <w:tab/>
            </w:r>
            <w:r>
              <w:rPr>
                <w:rStyle w:val="Style14"/>
              </w:rPr>
              <w:t>Monitoring and outcomes</w:t>
            </w:r>
            <w:r>
              <w:rPr>
                <w:webHidden/>
              </w:rPr>
              <w:fldChar w:fldCharType="begin"/>
            </w:r>
            <w:r>
              <w:rPr>
                <w:webHidden/>
              </w:rPr>
              <w:instrText>PAGEREF _Toc454366476 \h</w:instrText>
            </w:r>
            <w:r>
              <w:rPr>
                <w:webHidden/>
              </w:rPr>
              <w:fldChar w:fldCharType="separate"/>
            </w:r>
            <w:r>
              <w:rPr>
                <w:rStyle w:val="Style14"/>
                <w:vanish w:val="false"/>
              </w:rPr>
              <w:tab/>
              <w:t>11</w:t>
            </w:r>
            <w:r>
              <w:rPr>
                <w:webHidden/>
              </w:rPr>
              <w:fldChar w:fldCharType="end"/>
            </w:r>
          </w:hyperlink>
        </w:p>
        <w:p>
          <w:pPr>
            <w:pStyle w:val="13"/>
            <w:rPr>
              <w:rFonts w:eastAsia="" w:eastAsiaTheme="minorEastAsia"/>
              <w:sz w:val="24"/>
              <w:szCs w:val="24"/>
              <w:lang w:val="en-US"/>
            </w:rPr>
          </w:pPr>
          <w:hyperlink w:anchor="_Toc454366477">
            <w:r>
              <w:rPr>
                <w:webHidden/>
                <w:rStyle w:val="Style14"/>
                <w:vanish w:val="false"/>
              </w:rPr>
              <w:t>10</w:t>
            </w:r>
            <w:r>
              <w:rPr>
                <w:rStyle w:val="Style14"/>
                <w:rFonts w:eastAsia="" w:eastAsiaTheme="minorEastAsia"/>
                <w:sz w:val="24"/>
                <w:szCs w:val="24"/>
                <w:lang w:val="en-US"/>
              </w:rPr>
              <w:tab/>
            </w:r>
            <w:r>
              <w:rPr>
                <w:rStyle w:val="Style14"/>
              </w:rPr>
              <w:t>Detailed Findings for Indicators</w:t>
            </w:r>
            <w:r>
              <w:rPr>
                <w:webHidden/>
              </w:rPr>
              <w:fldChar w:fldCharType="begin"/>
            </w:r>
            <w:r>
              <w:rPr>
                <w:webHidden/>
              </w:rPr>
              <w:instrText>PAGEREF _Toc454366477 \h</w:instrText>
            </w:r>
            <w:r>
              <w:rPr>
                <w:webHidden/>
              </w:rPr>
              <w:fldChar w:fldCharType="separate"/>
            </w:r>
            <w:r>
              <w:rPr>
                <w:rStyle w:val="Style14"/>
                <w:vanish w:val="false"/>
              </w:rPr>
              <w:tab/>
              <w:t>12</w:t>
            </w:r>
            <w:r>
              <w:rPr>
                <w:webHidden/>
              </w:rPr>
              <w:fldChar w:fldCharType="end"/>
            </w:r>
          </w:hyperlink>
        </w:p>
        <w:p>
          <w:pPr>
            <w:pStyle w:val="13"/>
            <w:rPr>
              <w:rFonts w:eastAsia="" w:eastAsiaTheme="minorEastAsia"/>
              <w:sz w:val="24"/>
              <w:szCs w:val="24"/>
              <w:lang w:val="en-US"/>
            </w:rPr>
          </w:pPr>
          <w:hyperlink w:anchor="_Toc454366478">
            <w:r>
              <w:rPr>
                <w:webHidden/>
                <w:rStyle w:val="Style14"/>
                <w:vanish w:val="false"/>
              </w:rPr>
              <w:t>11</w:t>
            </w:r>
            <w:r>
              <w:rPr>
                <w:rStyle w:val="Style14"/>
                <w:rFonts w:eastAsia="" w:eastAsiaTheme="minorEastAsia"/>
                <w:sz w:val="24"/>
                <w:szCs w:val="24"/>
                <w:lang w:val="en-US"/>
              </w:rPr>
              <w:tab/>
            </w:r>
            <w:r>
              <w:rPr>
                <w:rStyle w:val="Style14"/>
              </w:rPr>
              <w:t>Review of Report</w:t>
            </w:r>
            <w:r>
              <w:rPr>
                <w:webHidden/>
              </w:rPr>
              <w:fldChar w:fldCharType="begin"/>
            </w:r>
            <w:r>
              <w:rPr>
                <w:webHidden/>
              </w:rPr>
              <w:instrText>PAGEREF _Toc454366478 \h</w:instrText>
            </w:r>
            <w:r>
              <w:rPr>
                <w:webHidden/>
              </w:rPr>
              <w:fldChar w:fldCharType="separate"/>
            </w:r>
            <w:r>
              <w:rPr>
                <w:rStyle w:val="Style14"/>
                <w:vanish w:val="false"/>
              </w:rPr>
              <w:tab/>
              <w:t>13</w:t>
            </w:r>
            <w:r>
              <w:rPr>
                <w:webHidden/>
              </w:rPr>
              <w:fldChar w:fldCharType="end"/>
            </w:r>
          </w:hyperlink>
        </w:p>
        <w:p>
          <w:pPr>
            <w:pStyle w:val="22"/>
            <w:rPr>
              <w:rFonts w:eastAsia="" w:eastAsiaTheme="minorEastAsia"/>
              <w:sz w:val="24"/>
              <w:szCs w:val="24"/>
              <w:lang w:val="en-US"/>
            </w:rPr>
          </w:pPr>
          <w:hyperlink w:anchor="_Toc454366479">
            <w:r>
              <w:rPr>
                <w:webHidden/>
                <w:rStyle w:val="Style14"/>
                <w:vanish w:val="false"/>
              </w:rPr>
              <w:t>11.1</w:t>
            </w:r>
            <w:r>
              <w:rPr>
                <w:rStyle w:val="Style14"/>
                <w:rFonts w:eastAsia="" w:eastAsiaTheme="minorEastAsia"/>
                <w:sz w:val="24"/>
                <w:szCs w:val="24"/>
                <w:lang w:val="en-US"/>
              </w:rPr>
              <w:tab/>
            </w:r>
            <w:r>
              <w:rPr>
                <w:rStyle w:val="Style14"/>
              </w:rPr>
              <w:t>Peer review</w:t>
            </w:r>
            <w:r>
              <w:rPr>
                <w:webHidden/>
              </w:rPr>
              <w:fldChar w:fldCharType="begin"/>
            </w:r>
            <w:r>
              <w:rPr>
                <w:webHidden/>
              </w:rPr>
              <w:instrText>PAGEREF _Toc454366479 \h</w:instrText>
            </w:r>
            <w:r>
              <w:rPr>
                <w:webHidden/>
              </w:rPr>
              <w:fldChar w:fldCharType="separate"/>
            </w:r>
            <w:r>
              <w:rPr>
                <w:rStyle w:val="Style14"/>
                <w:vanish w:val="false"/>
              </w:rPr>
              <w:tab/>
              <w:t>13</w:t>
            </w:r>
            <w:r>
              <w:rPr>
                <w:webHidden/>
              </w:rPr>
              <w:fldChar w:fldCharType="end"/>
            </w:r>
          </w:hyperlink>
        </w:p>
        <w:p>
          <w:pPr>
            <w:pStyle w:val="22"/>
            <w:rPr>
              <w:rFonts w:eastAsia="" w:eastAsiaTheme="minorEastAsia"/>
              <w:sz w:val="24"/>
              <w:szCs w:val="24"/>
              <w:lang w:val="en-US"/>
            </w:rPr>
          </w:pPr>
          <w:hyperlink w:anchor="_Toc454366480">
            <w:r>
              <w:rPr>
                <w:webHidden/>
                <w:rStyle w:val="Style14"/>
                <w:vanish w:val="false"/>
              </w:rPr>
              <w:t>11.2</w:t>
            </w:r>
            <w:r>
              <w:rPr>
                <w:rStyle w:val="Style14"/>
                <w:rFonts w:eastAsia="" w:eastAsiaTheme="minorEastAsia"/>
                <w:sz w:val="24"/>
                <w:szCs w:val="24"/>
                <w:lang w:val="en-US"/>
              </w:rPr>
              <w:tab/>
            </w:r>
            <w:r>
              <w:rPr>
                <w:rStyle w:val="Style14"/>
              </w:rPr>
              <w:t>Public or additional reviews</w:t>
            </w:r>
            <w:r>
              <w:rPr>
                <w:webHidden/>
              </w:rPr>
              <w:fldChar w:fldCharType="begin"/>
            </w:r>
            <w:r>
              <w:rPr>
                <w:webHidden/>
              </w:rPr>
              <w:instrText>PAGEREF _Toc454366480 \h</w:instrText>
            </w:r>
            <w:r>
              <w:rPr>
                <w:webHidden/>
              </w:rPr>
              <w:fldChar w:fldCharType="separate"/>
            </w:r>
            <w:r>
              <w:rPr>
                <w:rStyle w:val="Style14"/>
                <w:vanish w:val="false"/>
              </w:rPr>
              <w:tab/>
              <w:t>13</w:t>
            </w:r>
            <w:r>
              <w:rPr>
                <w:webHidden/>
              </w:rPr>
              <w:fldChar w:fldCharType="end"/>
            </w:r>
          </w:hyperlink>
        </w:p>
        <w:p>
          <w:pPr>
            <w:pStyle w:val="13"/>
            <w:rPr>
              <w:rFonts w:eastAsia="" w:eastAsiaTheme="minorEastAsia"/>
              <w:sz w:val="24"/>
              <w:szCs w:val="24"/>
              <w:lang w:val="en-US"/>
            </w:rPr>
          </w:pPr>
          <w:hyperlink w:anchor="_Toc454366481">
            <w:r>
              <w:rPr>
                <w:webHidden/>
                <w:rStyle w:val="Style14"/>
                <w:vanish w:val="false"/>
              </w:rPr>
              <w:t>12</w:t>
            </w:r>
            <w:r>
              <w:rPr>
                <w:rStyle w:val="Style14"/>
                <w:rFonts w:eastAsia="" w:eastAsiaTheme="minorEastAsia"/>
                <w:sz w:val="24"/>
                <w:szCs w:val="24"/>
                <w:lang w:val="en-US"/>
              </w:rPr>
              <w:tab/>
            </w:r>
            <w:r>
              <w:rPr>
                <w:rStyle w:val="Style14"/>
              </w:rPr>
              <w:t>Approval of Report</w:t>
            </w:r>
            <w:r>
              <w:rPr>
                <w:webHidden/>
              </w:rPr>
              <w:fldChar w:fldCharType="begin"/>
            </w:r>
            <w:r>
              <w:rPr>
                <w:webHidden/>
              </w:rPr>
              <w:instrText>PAGEREF _Toc454366481 \h</w:instrText>
            </w:r>
            <w:r>
              <w:rPr>
                <w:webHidden/>
              </w:rPr>
              <w:fldChar w:fldCharType="separate"/>
            </w:r>
            <w:r>
              <w:rPr>
                <w:rStyle w:val="Style14"/>
                <w:vanish w:val="false"/>
              </w:rPr>
              <w:tab/>
              <w:t>14</w:t>
            </w:r>
            <w:r>
              <w:rPr>
                <w:webHidden/>
              </w:rPr>
              <w:fldChar w:fldCharType="end"/>
            </w:r>
          </w:hyperlink>
        </w:p>
        <w:p>
          <w:pPr>
            <w:pStyle w:val="13"/>
            <w:rPr>
              <w:rFonts w:eastAsia="" w:eastAsiaTheme="minorEastAsia"/>
              <w:sz w:val="24"/>
              <w:szCs w:val="24"/>
              <w:lang w:val="en-US"/>
            </w:rPr>
          </w:pPr>
          <w:hyperlink w:anchor="_Toc454366482">
            <w:r>
              <w:rPr>
                <w:webHidden/>
                <w:rStyle w:val="Style14"/>
                <w:vanish w:val="false"/>
              </w:rPr>
              <w:t>13</w:t>
            </w:r>
            <w:r>
              <w:rPr>
                <w:rStyle w:val="Style14"/>
                <w:rFonts w:eastAsia="" w:eastAsiaTheme="minorEastAsia"/>
                <w:sz w:val="24"/>
                <w:szCs w:val="24"/>
                <w:lang w:val="en-US"/>
              </w:rPr>
              <w:tab/>
            </w:r>
            <w:r>
              <w:rPr>
                <w:rStyle w:val="Style14"/>
              </w:rPr>
              <w:t>Updates</w:t>
            </w:r>
            <w:r>
              <w:rPr>
                <w:webHidden/>
              </w:rPr>
              <w:fldChar w:fldCharType="begin"/>
            </w:r>
            <w:r>
              <w:rPr>
                <w:webHidden/>
              </w:rPr>
              <w:instrText>PAGEREF _Toc454366482 \h</w:instrText>
            </w:r>
            <w:r>
              <w:rPr>
                <w:webHidden/>
              </w:rPr>
              <w:fldChar w:fldCharType="separate"/>
            </w:r>
            <w:r>
              <w:rPr>
                <w:rStyle w:val="Style14"/>
                <w:vanish w:val="false"/>
              </w:rPr>
              <w:tab/>
              <w:t>15</w:t>
            </w:r>
            <w:r>
              <w:rPr>
                <w:webHidden/>
              </w:rPr>
              <w:fldChar w:fldCharType="end"/>
            </w:r>
          </w:hyperlink>
        </w:p>
        <w:p>
          <w:pPr>
            <w:pStyle w:val="22"/>
            <w:rPr>
              <w:rFonts w:eastAsia="" w:eastAsiaTheme="minorEastAsia"/>
              <w:sz w:val="24"/>
              <w:szCs w:val="24"/>
              <w:lang w:val="en-US"/>
            </w:rPr>
          </w:pPr>
          <w:hyperlink w:anchor="_Toc454366483">
            <w:r>
              <w:rPr>
                <w:webHidden/>
                <w:rStyle w:val="Style14"/>
                <w:vanish w:val="false"/>
              </w:rPr>
              <w:t>13.1</w:t>
            </w:r>
            <w:r>
              <w:rPr>
                <w:rStyle w:val="Style14"/>
                <w:rFonts w:eastAsia="" w:eastAsiaTheme="minorEastAsia"/>
                <w:sz w:val="24"/>
                <w:szCs w:val="24"/>
                <w:lang w:val="en-US"/>
              </w:rPr>
              <w:tab/>
            </w:r>
            <w:r>
              <w:rPr>
                <w:rStyle w:val="Style14"/>
              </w:rPr>
              <w:t>Significant changes in the Supply Base</w:t>
            </w:r>
            <w:r>
              <w:rPr>
                <w:webHidden/>
              </w:rPr>
              <w:fldChar w:fldCharType="begin"/>
            </w:r>
            <w:r>
              <w:rPr>
                <w:webHidden/>
              </w:rPr>
              <w:instrText>PAGEREF _Toc454366483 \h</w:instrText>
            </w:r>
            <w:r>
              <w:rPr>
                <w:webHidden/>
              </w:rPr>
              <w:fldChar w:fldCharType="separate"/>
            </w:r>
            <w:r>
              <w:rPr>
                <w:rStyle w:val="Style14"/>
                <w:vanish w:val="false"/>
              </w:rPr>
              <w:tab/>
              <w:t>15</w:t>
            </w:r>
            <w:r>
              <w:rPr>
                <w:webHidden/>
              </w:rPr>
              <w:fldChar w:fldCharType="end"/>
            </w:r>
          </w:hyperlink>
        </w:p>
        <w:p>
          <w:pPr>
            <w:pStyle w:val="22"/>
            <w:rPr>
              <w:rFonts w:eastAsia="" w:eastAsiaTheme="minorEastAsia"/>
              <w:sz w:val="24"/>
              <w:szCs w:val="24"/>
              <w:lang w:val="en-US"/>
            </w:rPr>
          </w:pPr>
          <w:hyperlink w:anchor="_Toc454366484">
            <w:r>
              <w:rPr>
                <w:webHidden/>
                <w:rStyle w:val="Style14"/>
                <w:vanish w:val="false"/>
              </w:rPr>
              <w:t>13.2</w:t>
            </w:r>
            <w:r>
              <w:rPr>
                <w:rStyle w:val="Style14"/>
                <w:rFonts w:eastAsia="" w:eastAsiaTheme="minorEastAsia"/>
                <w:sz w:val="24"/>
                <w:szCs w:val="24"/>
                <w:lang w:val="en-US"/>
              </w:rPr>
              <w:tab/>
            </w:r>
            <w:r>
              <w:rPr>
                <w:rStyle w:val="Style14"/>
              </w:rPr>
              <w:t>Effectiveness of previous mitigation measures</w:t>
            </w:r>
            <w:r>
              <w:rPr>
                <w:webHidden/>
              </w:rPr>
              <w:fldChar w:fldCharType="begin"/>
            </w:r>
            <w:r>
              <w:rPr>
                <w:webHidden/>
              </w:rPr>
              <w:instrText>PAGEREF _Toc454366484 \h</w:instrText>
            </w:r>
            <w:r>
              <w:rPr>
                <w:webHidden/>
              </w:rPr>
              <w:fldChar w:fldCharType="separate"/>
            </w:r>
            <w:r>
              <w:rPr>
                <w:rStyle w:val="Style14"/>
                <w:vanish w:val="false"/>
              </w:rPr>
              <w:tab/>
              <w:t>15</w:t>
            </w:r>
            <w:r>
              <w:rPr>
                <w:webHidden/>
              </w:rPr>
              <w:fldChar w:fldCharType="end"/>
            </w:r>
          </w:hyperlink>
        </w:p>
        <w:p>
          <w:pPr>
            <w:pStyle w:val="22"/>
            <w:rPr>
              <w:rFonts w:eastAsia="" w:eastAsiaTheme="minorEastAsia"/>
              <w:sz w:val="24"/>
              <w:szCs w:val="24"/>
              <w:lang w:val="en-US"/>
            </w:rPr>
          </w:pPr>
          <w:hyperlink w:anchor="_Toc454366485">
            <w:r>
              <w:rPr>
                <w:webHidden/>
                <w:rStyle w:val="Style14"/>
                <w:vanish w:val="false"/>
              </w:rPr>
              <w:t>13.3</w:t>
            </w:r>
            <w:r>
              <w:rPr>
                <w:rStyle w:val="Style14"/>
                <w:rFonts w:eastAsia="" w:eastAsiaTheme="minorEastAsia"/>
                <w:sz w:val="24"/>
                <w:szCs w:val="24"/>
                <w:lang w:val="en-US"/>
              </w:rPr>
              <w:tab/>
            </w:r>
            <w:r>
              <w:rPr>
                <w:rStyle w:val="Style14"/>
              </w:rPr>
              <w:t>New risk ratings and mitigation measures</w:t>
            </w:r>
            <w:r>
              <w:rPr>
                <w:webHidden/>
              </w:rPr>
              <w:fldChar w:fldCharType="begin"/>
            </w:r>
            <w:r>
              <w:rPr>
                <w:webHidden/>
              </w:rPr>
              <w:instrText>PAGEREF _Toc454366485 \h</w:instrText>
            </w:r>
            <w:r>
              <w:rPr>
                <w:webHidden/>
              </w:rPr>
              <w:fldChar w:fldCharType="separate"/>
            </w:r>
            <w:r>
              <w:rPr>
                <w:rStyle w:val="Style14"/>
                <w:vanish w:val="false"/>
              </w:rPr>
              <w:tab/>
              <w:t>15</w:t>
            </w:r>
            <w:r>
              <w:rPr>
                <w:webHidden/>
              </w:rPr>
              <w:fldChar w:fldCharType="end"/>
            </w:r>
          </w:hyperlink>
        </w:p>
        <w:p>
          <w:pPr>
            <w:pStyle w:val="22"/>
            <w:rPr>
              <w:rFonts w:eastAsia="" w:eastAsiaTheme="minorEastAsia"/>
              <w:sz w:val="24"/>
              <w:szCs w:val="24"/>
              <w:lang w:val="en-US"/>
            </w:rPr>
          </w:pPr>
          <w:hyperlink w:anchor="_Toc454366486">
            <w:r>
              <w:rPr>
                <w:webHidden/>
                <w:rStyle w:val="Style14"/>
                <w:vanish w:val="false"/>
              </w:rPr>
              <w:t>13.4</w:t>
            </w:r>
            <w:r>
              <w:rPr>
                <w:rStyle w:val="Style14"/>
                <w:rFonts w:eastAsia="" w:eastAsiaTheme="minorEastAsia"/>
                <w:sz w:val="24"/>
                <w:szCs w:val="24"/>
                <w:lang w:val="en-US"/>
              </w:rPr>
              <w:tab/>
            </w:r>
            <w:r>
              <w:rPr>
                <w:rStyle w:val="Style14"/>
              </w:rPr>
              <w:t>Actual figures for feedstock over the previous 12 months</w:t>
            </w:r>
            <w:r>
              <w:rPr>
                <w:webHidden/>
              </w:rPr>
              <w:fldChar w:fldCharType="begin"/>
            </w:r>
            <w:r>
              <w:rPr>
                <w:webHidden/>
              </w:rPr>
              <w:instrText>PAGEREF _Toc454366486 \h</w:instrText>
            </w:r>
            <w:r>
              <w:rPr>
                <w:webHidden/>
              </w:rPr>
              <w:fldChar w:fldCharType="separate"/>
            </w:r>
            <w:r>
              <w:rPr>
                <w:rStyle w:val="Style14"/>
                <w:vanish w:val="false"/>
              </w:rPr>
              <w:tab/>
              <w:t>15</w:t>
            </w:r>
            <w:r>
              <w:rPr>
                <w:webHidden/>
              </w:rPr>
              <w:fldChar w:fldCharType="end"/>
            </w:r>
          </w:hyperlink>
        </w:p>
        <w:p>
          <w:pPr>
            <w:pStyle w:val="22"/>
            <w:rPr>
              <w:rFonts w:eastAsia="" w:eastAsiaTheme="minorEastAsia"/>
              <w:sz w:val="24"/>
              <w:szCs w:val="24"/>
              <w:lang w:val="en-US"/>
            </w:rPr>
          </w:pPr>
          <w:hyperlink w:anchor="_Toc454366487">
            <w:r>
              <w:rPr>
                <w:webHidden/>
                <w:rStyle w:val="Style14"/>
                <w:vanish w:val="false"/>
              </w:rPr>
              <w:t>13.5</w:t>
            </w:r>
            <w:r>
              <w:rPr>
                <w:rStyle w:val="Style14"/>
                <w:rFonts w:eastAsia="" w:eastAsiaTheme="minorEastAsia"/>
                <w:sz w:val="24"/>
                <w:szCs w:val="24"/>
                <w:lang w:val="en-US"/>
              </w:rPr>
              <w:tab/>
            </w:r>
            <w:r>
              <w:rPr>
                <w:rStyle w:val="Style14"/>
              </w:rPr>
              <w:t>Projected figures for feedstock over the next 12 months</w:t>
            </w:r>
            <w:r>
              <w:rPr>
                <w:webHidden/>
              </w:rPr>
              <w:fldChar w:fldCharType="begin"/>
            </w:r>
            <w:r>
              <w:rPr>
                <w:webHidden/>
              </w:rPr>
              <w:instrText>PAGEREF _Toc454366487 \h</w:instrText>
            </w:r>
            <w:r>
              <w:rPr>
                <w:webHidden/>
              </w:rPr>
              <w:fldChar w:fldCharType="separate"/>
            </w:r>
            <w:r>
              <w:rPr>
                <w:rStyle w:val="Style14"/>
                <w:vanish w:val="false"/>
              </w:rPr>
              <w:tab/>
              <w:t>15</w:t>
            </w:r>
            <w:r>
              <w:rPr>
                <w:webHidden/>
              </w:rPr>
              <w:fldChar w:fldCharType="end"/>
            </w:r>
          </w:hyperlink>
        </w:p>
        <w:p>
          <w:pPr>
            <w:pStyle w:val="Normal"/>
            <w:rPr/>
          </w:pPr>
          <w:r>
            <w:rPr/>
          </w:r>
          <w:r>
            <w:fldChar w:fldCharType="end"/>
          </w:r>
        </w:p>
        <w:p>
          <w:pPr>
            <w:pStyle w:val="Normal"/>
            <w:rPr/>
          </w:pPr>
          <w:r>
            <w:rPr/>
          </w:r>
        </w:p>
        <w:p>
          <w:pPr>
            <w:pStyle w:val="1"/>
            <w:pageBreakBefore w:val="false"/>
            <w:numPr>
              <w:ilvl w:val="0"/>
              <w:numId w:val="2"/>
            </w:numPr>
            <w:ind w:left="851" w:hanging="851"/>
            <w:rPr/>
          </w:pPr>
          <w:bookmarkStart w:id="0" w:name="_Toc454366452"/>
          <w:bookmarkEnd w:id="0"/>
          <w:r>
            <w:rPr/>
            <w:t>Overview</w:t>
          </w:r>
        </w:p>
        <w:p>
          <w:pPr>
            <w:pStyle w:val="Normal"/>
            <w:rPr>
              <w:lang w:val="en-US"/>
            </w:rPr>
          </w:pPr>
          <w:r>
            <w:rPr/>
            <w:t xml:space="preserve">Producer name: </w:t>
            <w:tab/>
            <w:tab/>
          </w:r>
          <w:r>
            <w:rPr>
              <w:lang w:val="en-US"/>
            </w:rPr>
            <w:t>TechnoArs LLC</w:t>
          </w:r>
        </w:p>
        <w:p>
          <w:pPr>
            <w:pStyle w:val="Normal"/>
            <w:rPr>
              <w:lang w:val="en-US"/>
            </w:rPr>
          </w:pPr>
          <w:r>
            <w:rPr/>
            <w:t>Producer location:</w:t>
            <w:tab/>
            <w:tab/>
            <w:t>Sovetskaya str., 114, 171720, Vesyegonsk, Tver region, Russia</w:t>
          </w:r>
        </w:p>
        <w:p>
          <w:pPr>
            <w:pStyle w:val="Normal"/>
            <w:rPr/>
          </w:pPr>
          <w:r>
            <w:rPr/>
            <w:t>Geographic position:</w:t>
            <w:tab/>
            <w:tab/>
            <w:t>58°3</w:t>
          </w:r>
          <w:r>
            <w:rPr>
              <w:lang w:val="en-US"/>
            </w:rPr>
            <w:t>8</w:t>
          </w:r>
          <w:r>
            <w:rPr/>
            <w:t>′</w:t>
          </w:r>
          <w:r>
            <w:rPr>
              <w:lang w:val="en-US"/>
            </w:rPr>
            <w:t>59</w:t>
          </w:r>
          <w:r>
            <w:rPr/>
            <w:t>″N, 37°1</w:t>
          </w:r>
          <w:r>
            <w:rPr>
              <w:lang w:val="en-US"/>
            </w:rPr>
            <w:t>4</w:t>
          </w:r>
          <w:r>
            <w:rPr/>
            <w:t>′</w:t>
          </w:r>
          <w:r>
            <w:rPr>
              <w:lang w:val="en-US"/>
            </w:rPr>
            <w:t>41</w:t>
          </w:r>
          <w:r>
            <w:rPr/>
            <w:t>″E</w:t>
          </w:r>
        </w:p>
        <w:p>
          <w:pPr>
            <w:pStyle w:val="Normal"/>
            <w:ind w:left="2160" w:hanging="2160"/>
            <w:rPr/>
          </w:pPr>
          <w:r>
            <w:rPr/>
            <w:t>Primary contact:</w:t>
            <w:tab/>
            <w:tab/>
            <w:t xml:space="preserve">Igor Brylev, Sovetskaya str., 114, 171720, Vesyegonsk, Tver region, </w:t>
            <w:tab/>
            <w:t xml:space="preserve">Russia, tel.: +7-48264-21132, </w:t>
          </w:r>
          <w:r>
            <w:rPr>
              <w:lang w:val="en-US"/>
            </w:rPr>
            <w:t>ooolaguna</w:t>
          </w:r>
          <w:r>
            <w:rPr/>
            <w:t>@</w:t>
          </w:r>
          <w:r>
            <w:rPr>
              <w:lang w:val="en-US"/>
            </w:rPr>
            <w:t>inbox</w:t>
          </w:r>
          <w:r>
            <w:rPr/>
            <w:t>.</w:t>
          </w:r>
          <w:r>
            <w:rPr>
              <w:lang w:val="en-US"/>
            </w:rPr>
            <w:t>ru</w:t>
          </w:r>
        </w:p>
        <w:p>
          <w:pPr>
            <w:pStyle w:val="Normal"/>
            <w:rPr/>
          </w:pPr>
          <w:r>
            <w:rPr/>
            <w:t>Company website:</w:t>
            <w:tab/>
            <w:tab/>
            <w:t>http://vesegonsk.ru/about/info/news/8710/</w:t>
          </w:r>
        </w:p>
        <w:p>
          <w:pPr>
            <w:pStyle w:val="Normal"/>
            <w:rPr/>
          </w:pPr>
          <w:r>
            <w:rPr/>
            <w:t>Date report finalised:</w:t>
            <w:tab/>
            <w:tab/>
            <w:t>1</w:t>
          </w:r>
          <w:r>
            <w:rPr/>
            <w:t>8</w:t>
          </w:r>
          <w:r>
            <w:rPr/>
            <w:t>/03/20</w:t>
          </w:r>
          <w:r>
            <w:rPr/>
            <w:t>20</w:t>
          </w:r>
        </w:p>
        <w:p>
          <w:pPr>
            <w:pStyle w:val="Normal"/>
            <w:rPr/>
          </w:pPr>
          <w:bookmarkStart w:id="1" w:name="_GoBack"/>
          <w:bookmarkEnd w:id="1"/>
          <w:r>
            <w:rPr/>
            <w:t>Close of last CB audit:</w:t>
            <w:tab/>
            <w:tab/>
            <w:t>1</w:t>
          </w:r>
          <w:r>
            <w:rPr/>
            <w:t>9</w:t>
          </w:r>
          <w:r>
            <w:rPr/>
            <w:t>/03/20</w:t>
          </w:r>
          <w:r>
            <w:rPr/>
            <w:t>20</w:t>
          </w:r>
          <w:r>
            <w:rPr/>
            <w:t>, Vesyegonsk</w:t>
          </w:r>
        </w:p>
        <w:p>
          <w:pPr>
            <w:pStyle w:val="Normal"/>
            <w:rPr/>
          </w:pPr>
          <w:r>
            <w:rPr/>
            <w:t>Name of CB:</w:t>
            <w:tab/>
            <w:tab/>
            <w:tab/>
            <w:t>NEPCon OU</w:t>
          </w:r>
        </w:p>
        <w:p>
          <w:pPr>
            <w:pStyle w:val="Normal"/>
            <w:rPr/>
          </w:pPr>
          <w:r>
            <w:rPr/>
            <w:t>Translations from English:</w:t>
            <w:tab/>
            <w:t>Yes</w:t>
          </w:r>
        </w:p>
        <w:p>
          <w:pPr>
            <w:pStyle w:val="Normal"/>
            <w:spacing w:lineRule="auto" w:line="240"/>
            <w:rPr/>
          </w:pPr>
          <w:r>
            <w:rPr/>
            <w:t>SBP Standard(s) used:</w:t>
            <w:tab/>
            <w:tab/>
            <w:t xml:space="preserve">SBP Standard 2: Verification of SBP-compliant Feedstock, v. 1.0, March </w:t>
            <w:tab/>
            <w:tab/>
            <w:tab/>
            <w:tab/>
            <w:tab/>
            <w:t xml:space="preserve">2015; SBP Standard 4: Chain of Custody, v. 1.0, March 2015; SBP </w:t>
            <w:tab/>
            <w:tab/>
            <w:tab/>
            <w:tab/>
            <w:tab/>
            <w:t xml:space="preserve">Standard 5: Collection and Communication of Data, v. 1.0, March </w:t>
            <w:tab/>
            <w:tab/>
            <w:tab/>
            <w:tab/>
            <w:tab/>
            <w:t>2015</w:t>
          </w:r>
        </w:p>
        <w:p>
          <w:pPr>
            <w:pStyle w:val="Normal"/>
            <w:rPr/>
          </w:pPr>
          <w:r>
            <w:rPr/>
            <w:t>Weblink to Standard(s) used:</w:t>
            <w:tab/>
            <w:t>sbp-cert.org/documents</w:t>
          </w:r>
        </w:p>
        <w:p>
          <w:pPr>
            <w:pStyle w:val="Normal"/>
            <w:rPr/>
          </w:pPr>
          <w:r>
            <w:rPr/>
            <w:t xml:space="preserve">SBP Endorsed Regional Risk Assessment: </w:t>
            <w:tab/>
            <w:t>N/A</w:t>
          </w:r>
        </w:p>
        <w:p>
          <w:pPr>
            <w:pStyle w:val="Normal"/>
            <w:rPr/>
          </w:pPr>
          <w:r>
            <w:rPr/>
            <w:t xml:space="preserve">Weblink to SBE on Company website: </w:t>
            <w:tab/>
            <w:t>N/A</w:t>
          </w:r>
        </w:p>
        <w:p>
          <w:pPr>
            <w:pStyle w:val="Normal"/>
            <w:rPr/>
          </w:pPr>
          <w:r>
            <w:rPr/>
          </w:r>
        </w:p>
      </w:sdtContent>
    </w:sdt>
    <w:tbl>
      <w:tblPr>
        <w:tblStyle w:val="ae"/>
        <w:tblW w:w="9350" w:type="dxa"/>
        <w:jc w:val="left"/>
        <w:tblInd w:w="0" w:type="dxa"/>
        <w:tblCellMar>
          <w:top w:w="0" w:type="dxa"/>
          <w:left w:w="88" w:type="dxa"/>
          <w:bottom w:w="0" w:type="dxa"/>
          <w:right w:w="108" w:type="dxa"/>
        </w:tblCellMar>
        <w:tblLook w:firstRow="1" w:noVBand="1" w:lastRow="0" w:firstColumn="1" w:lastColumn="0" w:noHBand="0" w:val="04a0"/>
      </w:tblPr>
      <w:tblGrid>
        <w:gridCol w:w="1861"/>
        <w:gridCol w:w="1872"/>
        <w:gridCol w:w="1872"/>
        <w:gridCol w:w="1872"/>
        <w:gridCol w:w="1873"/>
      </w:tblGrid>
      <w:tr>
        <w:trPr>
          <w:trHeight w:val="647" w:hRule="atLeast"/>
        </w:trPr>
        <w:tc>
          <w:tcPr>
            <w:tcW w:w="9350" w:type="dxa"/>
            <w:gridSpan w:val="5"/>
            <w:tcBorders/>
            <w:shd w:color="auto" w:fill="315644" w:themeFill="accent3" w:themeFillShade="80" w:val="clear"/>
            <w:tcMar>
              <w:left w:w="88" w:type="dxa"/>
            </w:tcMar>
            <w:vAlign w:val="center"/>
          </w:tcPr>
          <w:p>
            <w:pPr>
              <w:pStyle w:val="Normal"/>
              <w:spacing w:lineRule="auto" w:line="240" w:before="120" w:after="0"/>
              <w:jc w:val="center"/>
              <w:rPr>
                <w:b/>
                <w:b/>
                <w:color w:val="FFFFFF" w:themeColor="background1"/>
                <w:lang w:val="en-US"/>
              </w:rPr>
            </w:pPr>
            <w:r>
              <w:rPr>
                <w:b/>
                <w:color w:val="FFFFFF" w:themeColor="background1"/>
                <w:lang w:val="en-US"/>
              </w:rPr>
              <w:t>Indicate how the current evaluation fits within the cycle of Supply Base Evaluations</w:t>
            </w:r>
          </w:p>
        </w:tc>
      </w:tr>
      <w:tr>
        <w:trPr>
          <w:trHeight w:val="620" w:hRule="atLeast"/>
        </w:trPr>
        <w:tc>
          <w:tcPr>
            <w:tcW w:w="1861" w:type="dxa"/>
            <w:tcBorders/>
            <w:shd w:color="auto" w:fill="A3CAB8" w:themeFill="accent3" w:themeFillTint="99" w:val="clear"/>
            <w:tcMar>
              <w:left w:w="88" w:type="dxa"/>
            </w:tcMar>
            <w:vAlign w:val="center"/>
          </w:tcPr>
          <w:p>
            <w:pPr>
              <w:pStyle w:val="Normal"/>
              <w:spacing w:lineRule="auto" w:line="240" w:before="120" w:after="200"/>
              <w:jc w:val="center"/>
              <w:rPr>
                <w:b/>
                <w:b/>
                <w:lang w:val="en-US"/>
              </w:rPr>
            </w:pPr>
            <w:r>
              <w:rPr>
                <w:b/>
                <w:lang w:val="en-US"/>
              </w:rPr>
              <w:t>Main (Initial)</w:t>
            </w:r>
          </w:p>
          <w:p>
            <w:pPr>
              <w:pStyle w:val="Normal"/>
              <w:spacing w:lineRule="auto" w:line="240" w:before="0" w:after="120"/>
              <w:jc w:val="center"/>
              <w:rPr>
                <w:b/>
                <w:b/>
                <w:lang w:val="en-US"/>
              </w:rPr>
            </w:pPr>
            <w:r>
              <w:rPr>
                <w:b/>
                <w:lang w:val="en-US"/>
              </w:rPr>
              <w:t>Evaluation</w:t>
            </w:r>
          </w:p>
        </w:tc>
        <w:tc>
          <w:tcPr>
            <w:tcW w:w="1872" w:type="dxa"/>
            <w:tcBorders/>
            <w:shd w:color="auto" w:fill="A3CAB8" w:themeFill="accent3" w:themeFillTint="99" w:val="clear"/>
            <w:tcMar>
              <w:left w:w="88" w:type="dxa"/>
            </w:tcMar>
            <w:vAlign w:val="center"/>
          </w:tcPr>
          <w:p>
            <w:pPr>
              <w:pStyle w:val="Normal"/>
              <w:spacing w:lineRule="auto" w:line="240" w:before="120" w:after="200"/>
              <w:jc w:val="center"/>
              <w:rPr>
                <w:b/>
                <w:b/>
                <w:lang w:val="en-US"/>
              </w:rPr>
            </w:pPr>
            <w:r>
              <w:rPr>
                <w:b/>
                <w:lang w:val="en-US"/>
              </w:rPr>
              <w:t>First</w:t>
            </w:r>
          </w:p>
          <w:p>
            <w:pPr>
              <w:pStyle w:val="Normal"/>
              <w:spacing w:lineRule="auto" w:line="240" w:before="0" w:after="120"/>
              <w:jc w:val="center"/>
              <w:rPr>
                <w:b/>
                <w:b/>
                <w:lang w:val="en-US"/>
              </w:rPr>
            </w:pPr>
            <w:r>
              <w:rPr>
                <w:b/>
                <w:lang w:val="en-US"/>
              </w:rPr>
              <w:t>Surveillance</w:t>
            </w:r>
          </w:p>
        </w:tc>
        <w:tc>
          <w:tcPr>
            <w:tcW w:w="1872" w:type="dxa"/>
            <w:tcBorders/>
            <w:shd w:color="auto" w:fill="A3CAB8" w:themeFill="accent3" w:themeFillTint="99" w:val="clear"/>
            <w:tcMar>
              <w:left w:w="88" w:type="dxa"/>
            </w:tcMar>
            <w:vAlign w:val="center"/>
          </w:tcPr>
          <w:p>
            <w:pPr>
              <w:pStyle w:val="Normal"/>
              <w:spacing w:lineRule="auto" w:line="240" w:before="120" w:after="0"/>
              <w:jc w:val="center"/>
              <w:rPr>
                <w:b/>
                <w:b/>
                <w:lang w:val="en-US"/>
              </w:rPr>
            </w:pPr>
            <w:r>
              <w:rPr>
                <w:b/>
                <w:lang w:val="en-US"/>
              </w:rPr>
              <w:t>Second Surveillance</w:t>
            </w:r>
          </w:p>
        </w:tc>
        <w:tc>
          <w:tcPr>
            <w:tcW w:w="1872" w:type="dxa"/>
            <w:tcBorders/>
            <w:shd w:color="auto" w:fill="A3CAB8" w:themeFill="accent3" w:themeFillTint="99" w:val="clear"/>
            <w:tcMar>
              <w:left w:w="88" w:type="dxa"/>
            </w:tcMar>
            <w:vAlign w:val="center"/>
          </w:tcPr>
          <w:p>
            <w:pPr>
              <w:pStyle w:val="Normal"/>
              <w:spacing w:lineRule="auto" w:line="240" w:before="120" w:after="200"/>
              <w:jc w:val="center"/>
              <w:rPr>
                <w:b/>
                <w:b/>
                <w:lang w:val="en-US"/>
              </w:rPr>
            </w:pPr>
            <w:r>
              <w:rPr>
                <w:b/>
                <w:lang w:val="en-US"/>
              </w:rPr>
              <w:t>Third</w:t>
            </w:r>
          </w:p>
          <w:p>
            <w:pPr>
              <w:pStyle w:val="Normal"/>
              <w:spacing w:lineRule="auto" w:line="240" w:before="0" w:after="120"/>
              <w:jc w:val="center"/>
              <w:rPr>
                <w:b/>
                <w:b/>
                <w:lang w:val="en-US"/>
              </w:rPr>
            </w:pPr>
            <w:r>
              <w:rPr>
                <w:b/>
                <w:lang w:val="en-US"/>
              </w:rPr>
              <w:t>Surveillance</w:t>
            </w:r>
          </w:p>
        </w:tc>
        <w:tc>
          <w:tcPr>
            <w:tcW w:w="1873" w:type="dxa"/>
            <w:tcBorders/>
            <w:shd w:color="auto" w:fill="A3CAB8" w:themeFill="accent3" w:themeFillTint="99" w:val="clear"/>
            <w:tcMar>
              <w:left w:w="88" w:type="dxa"/>
            </w:tcMar>
            <w:vAlign w:val="center"/>
          </w:tcPr>
          <w:p>
            <w:pPr>
              <w:pStyle w:val="Normal"/>
              <w:spacing w:lineRule="auto" w:line="240" w:before="120" w:after="200"/>
              <w:jc w:val="center"/>
              <w:rPr>
                <w:b/>
                <w:b/>
                <w:lang w:val="en-US"/>
              </w:rPr>
            </w:pPr>
            <w:r>
              <w:rPr>
                <w:b/>
                <w:lang w:val="en-US"/>
              </w:rPr>
              <w:t>Fourth</w:t>
            </w:r>
          </w:p>
          <w:p>
            <w:pPr>
              <w:pStyle w:val="Normal"/>
              <w:spacing w:lineRule="auto" w:line="240" w:before="0" w:after="120"/>
              <w:jc w:val="center"/>
              <w:rPr>
                <w:b/>
                <w:b/>
                <w:lang w:val="en-US"/>
              </w:rPr>
            </w:pPr>
            <w:r>
              <w:rPr>
                <w:b/>
                <w:lang w:val="en-US"/>
              </w:rPr>
              <w:t>Surveillance</w:t>
            </w:r>
          </w:p>
        </w:tc>
      </w:tr>
      <w:tr>
        <w:trPr>
          <w:trHeight w:val="710" w:hRule="atLeast"/>
        </w:trPr>
        <w:tc>
          <w:tcPr>
            <w:tcW w:w="1861" w:type="dxa"/>
            <w:tcBorders/>
            <w:shd w:fill="auto" w:val="clear"/>
            <w:tcMar>
              <w:left w:w="88" w:type="dxa"/>
            </w:tcMar>
            <w:vAlign w:val="center"/>
          </w:tcPr>
          <w:p>
            <w:pPr>
              <w:pStyle w:val="Normal"/>
              <w:spacing w:lineRule="auto" w:line="240" w:before="120" w:after="0"/>
              <w:jc w:val="center"/>
              <w:rPr/>
            </w:pPr>
            <w:sdt>
              <w:sdtPr>
                <w14:checkbox>
                  <w14:checked w:val=""/>
                  <w14:checkedState w:val=""/>
                  <w14:uncheckedState w:val=""/>
                </w14:checkbox>
              </w:sdtPr>
              <w:sdtContent>
                <w:r>
                  <w:rPr>
                    <w:rFonts w:eastAsia="MS Gothic" w:cs="Menlo Regular" w:ascii="Menlo Regular" w:hAnsi="Menlo Regular"/>
                    <w:b/>
                    <w:sz w:val="32"/>
                    <w:szCs w:val="32"/>
                    <w:lang w:val="en-US"/>
                  </w:rPr>
                  <w:t>☐</w:t>
                </w:r>
              </w:sdtContent>
            </w:sdt>
          </w:p>
        </w:tc>
        <w:tc>
          <w:tcPr>
            <w:tcW w:w="1872" w:type="dxa"/>
            <w:tcBorders/>
            <w:shd w:fill="auto" w:val="clear"/>
            <w:tcMar>
              <w:left w:w="88" w:type="dxa"/>
            </w:tcMar>
            <w:vAlign w:val="center"/>
          </w:tcPr>
          <w:p>
            <w:pPr>
              <w:pStyle w:val="Normal"/>
              <w:spacing w:lineRule="auto" w:line="240" w:before="120" w:after="0"/>
              <w:jc w:val="center"/>
              <w:rPr/>
            </w:pPr>
            <w:sdt>
              <w:sdtPr>
                <w14:checkbox>
                  <w14:checked w:val=""/>
                  <w14:checkedState w:val=""/>
                  <w14:uncheckedState w:val=""/>
                </w14:checkbox>
              </w:sdtPr>
              <w:sdtContent>
                <w:r>
                  <w:rPr>
                    <w:rFonts w:eastAsia="MS Gothic" w:cs="Menlo Regular" w:ascii="MS Gothic" w:hAnsi="MS Gothic"/>
                    <w:b/>
                    <w:sz w:val="28"/>
                    <w:szCs w:val="32"/>
                    <w:lang w:val="en-US"/>
                  </w:rPr>
                  <w:t>☒</w:t>
                </w:r>
              </w:sdtContent>
            </w:sdt>
          </w:p>
        </w:tc>
        <w:tc>
          <w:tcPr>
            <w:tcW w:w="1872" w:type="dxa"/>
            <w:tcBorders/>
            <w:shd w:fill="auto" w:val="clear"/>
            <w:tcMar>
              <w:left w:w="88" w:type="dxa"/>
            </w:tcMar>
            <w:vAlign w:val="center"/>
          </w:tcPr>
          <w:p>
            <w:pPr>
              <w:pStyle w:val="Normal"/>
              <w:spacing w:lineRule="auto" w:line="240" w:before="120" w:after="0"/>
              <w:jc w:val="center"/>
              <w:rPr>
                <w:b/>
                <w:b/>
                <w:sz w:val="32"/>
                <w:szCs w:val="32"/>
                <w:lang w:val="en-US"/>
              </w:rPr>
            </w:pPr>
            <w:bookmarkStart w:id="2" w:name="__DdeLink__10671_1539943338"/>
            <w:bookmarkEnd w:id="2"/>
            <w:r>
              <w:rPr>
                <w:rFonts w:cs="Menlo Regular" w:ascii="Menlo Regular" w:hAnsi="Menlo Regular"/>
                <w:b/>
                <w:sz w:val="32"/>
                <w:szCs w:val="32"/>
                <w:lang w:val="en-US"/>
              </w:rPr>
              <w:t>☐</w:t>
            </w:r>
          </w:p>
        </w:tc>
        <w:tc>
          <w:tcPr>
            <w:tcW w:w="1872" w:type="dxa"/>
            <w:tcBorders/>
            <w:shd w:fill="auto" w:val="clear"/>
            <w:tcMar>
              <w:left w:w="88" w:type="dxa"/>
            </w:tcMar>
            <w:vAlign w:val="center"/>
          </w:tcPr>
          <w:p>
            <w:pPr>
              <w:pStyle w:val="Normal"/>
              <w:spacing w:lineRule="auto" w:line="240" w:before="120" w:after="0"/>
              <w:jc w:val="center"/>
              <w:rPr>
                <w:b/>
                <w:b/>
                <w:sz w:val="32"/>
                <w:szCs w:val="32"/>
                <w:lang w:val="en-US"/>
              </w:rPr>
            </w:pPr>
            <w:r>
              <w:rPr>
                <w:rFonts w:cs="Menlo Regular" w:ascii="Menlo Regular" w:hAnsi="Menlo Regular"/>
                <w:b/>
                <w:sz w:val="32"/>
                <w:szCs w:val="32"/>
                <w:lang w:val="en-US"/>
              </w:rPr>
              <w:t>☐</w:t>
            </w:r>
          </w:p>
        </w:tc>
        <w:tc>
          <w:tcPr>
            <w:tcW w:w="1873" w:type="dxa"/>
            <w:tcBorders/>
            <w:shd w:fill="auto" w:val="clear"/>
            <w:tcMar>
              <w:left w:w="88" w:type="dxa"/>
            </w:tcMar>
            <w:vAlign w:val="center"/>
          </w:tcPr>
          <w:p>
            <w:pPr>
              <w:pStyle w:val="Normal"/>
              <w:spacing w:lineRule="auto" w:line="240" w:before="120" w:after="0"/>
              <w:jc w:val="center"/>
              <w:rPr>
                <w:b/>
                <w:b/>
                <w:sz w:val="32"/>
                <w:szCs w:val="32"/>
                <w:lang w:val="en-US"/>
              </w:rPr>
            </w:pPr>
            <w:r>
              <w:rPr>
                <w:rFonts w:cs="Menlo Regular" w:ascii="Menlo Regular" w:hAnsi="Menlo Regular"/>
                <w:b/>
                <w:sz w:val="32"/>
                <w:szCs w:val="32"/>
                <w:lang w:val="en-US"/>
              </w:rPr>
              <w:t>☐</w:t>
            </w:r>
          </w:p>
        </w:tc>
      </w:tr>
    </w:tbl>
    <w:p>
      <w:pPr>
        <w:pStyle w:val="Normal"/>
        <w:rPr/>
      </w:pPr>
      <w:r>
        <w:rPr/>
      </w:r>
    </w:p>
    <w:p>
      <w:pPr>
        <w:pStyle w:val="1"/>
        <w:numPr>
          <w:ilvl w:val="0"/>
          <w:numId w:val="2"/>
        </w:numPr>
        <w:ind w:left="851" w:hanging="851"/>
        <w:rPr/>
      </w:pPr>
      <w:bookmarkStart w:id="3" w:name="_Toc454366453"/>
      <w:bookmarkEnd w:id="3"/>
      <w:r>
        <w:rPr/>
        <w:t>Description of the Supply Base</w:t>
      </w:r>
    </w:p>
    <w:p>
      <w:pPr>
        <w:pStyle w:val="2"/>
        <w:numPr>
          <w:ilvl w:val="1"/>
          <w:numId w:val="2"/>
        </w:numPr>
        <w:ind w:left="851" w:hanging="851"/>
        <w:rPr/>
      </w:pPr>
      <w:bookmarkStart w:id="4" w:name="_Toc454366454"/>
      <w:bookmarkEnd w:id="4"/>
      <w:r>
        <w:rPr/>
        <w:t>General description</w:t>
      </w:r>
    </w:p>
    <w:p>
      <w:pPr>
        <w:pStyle w:val="2"/>
        <w:numPr>
          <w:ilvl w:val="0"/>
          <w:numId w:val="0"/>
        </w:numPr>
        <w:spacing w:lineRule="auto" w:line="360" w:before="0" w:after="0"/>
        <w:ind w:left="851" w:hanging="851"/>
        <w:rPr/>
      </w:pPr>
      <w:r>
        <w:rPr>
          <w:rFonts w:eastAsia="Arial" w:cs="" w:ascii="Arial" w:hAnsi="Arial" w:asciiTheme="minorHAnsi" w:cstheme="minorBidi" w:eastAsiaTheme="minorHAnsi" w:hAnsiTheme="minorHAnsi"/>
          <w:i/>
          <w:color w:val="00000A"/>
          <w:sz w:val="20"/>
          <w:szCs w:val="20"/>
        </w:rPr>
        <w:t>The supply base of LLC "TechnoArs" consists of 3 lease areas with a total area of ​​91290 ha in the Krasnokholmsky forest district of the Tver region of the Russian Federation. The tenant of these lease areas and the only supplier of feedstock for pellet production is Laguna LLC. The feedstock for the production of pellets are the sawmill residues of Laguna LLC</w:t>
      </w:r>
      <w:r>
        <w:rPr>
          <w:rFonts w:eastAsia="Arial" w:cs="" w:ascii="Arial" w:hAnsi="Arial" w:asciiTheme="minorHAnsi" w:cstheme="minorBidi" w:eastAsiaTheme="minorHAnsi" w:hAnsiTheme="minorHAnsi"/>
          <w:i/>
          <w:color w:val="00000A"/>
          <w:sz w:val="20"/>
          <w:szCs w:val="20"/>
          <w:lang w:val="en-US"/>
        </w:rPr>
        <w:t xml:space="preserve"> – sawdust and wood chips</w:t>
      </w:r>
      <w:r>
        <w:rPr>
          <w:rFonts w:eastAsia="Arial" w:cs="" w:ascii="Arial" w:hAnsi="Arial" w:asciiTheme="minorHAnsi" w:cstheme="minorBidi" w:eastAsiaTheme="minorHAnsi" w:hAnsiTheme="minorHAnsi"/>
          <w:i/>
          <w:color w:val="00000A"/>
          <w:sz w:val="20"/>
          <w:szCs w:val="20"/>
        </w:rPr>
        <w:t>.</w:t>
      </w:r>
      <w:r>
        <w:rPr>
          <w:rFonts w:eastAsia="Arial" w:cs="" w:ascii="Arial" w:hAnsi="Arial" w:asciiTheme="minorHAnsi" w:cstheme="minorBidi" w:eastAsiaTheme="minorHAnsi" w:hAnsiTheme="minorHAnsi"/>
          <w:i/>
          <w:color w:val="00000A"/>
          <w:sz w:val="20"/>
          <w:szCs w:val="20"/>
          <w:lang w:val="en-US"/>
        </w:rPr>
        <w:t xml:space="preserve"> The second reporting period is 12 months from 01/01/201</w:t>
      </w:r>
      <w:r>
        <w:rPr>
          <w:rFonts w:eastAsia="Arial" w:cs="" w:ascii="Arial" w:hAnsi="Arial" w:asciiTheme="minorHAnsi" w:cstheme="minorBidi" w:eastAsiaTheme="minorHAnsi" w:hAnsiTheme="minorHAnsi"/>
          <w:i/>
          <w:color w:val="00000A"/>
          <w:sz w:val="20"/>
          <w:szCs w:val="20"/>
          <w:lang w:val="en-US"/>
        </w:rPr>
        <w:t>9</w:t>
      </w:r>
      <w:r>
        <w:rPr>
          <w:rFonts w:eastAsia="Arial" w:cs="" w:ascii="Arial" w:hAnsi="Arial" w:asciiTheme="minorHAnsi" w:cstheme="minorBidi" w:eastAsiaTheme="minorHAnsi" w:hAnsiTheme="minorHAnsi"/>
          <w:i/>
          <w:color w:val="00000A"/>
          <w:sz w:val="20"/>
          <w:szCs w:val="20"/>
          <w:lang w:val="en-US"/>
        </w:rPr>
        <w:t xml:space="preserve"> to 31/12/201</w:t>
      </w:r>
      <w:r>
        <w:rPr>
          <w:rFonts w:eastAsia="Arial" w:cs="" w:ascii="Arial" w:hAnsi="Arial" w:asciiTheme="minorHAnsi" w:cstheme="minorBidi" w:eastAsiaTheme="minorHAnsi" w:hAnsiTheme="minorHAnsi"/>
          <w:i/>
          <w:color w:val="00000A"/>
          <w:sz w:val="20"/>
          <w:szCs w:val="20"/>
          <w:lang w:val="en-US"/>
        </w:rPr>
        <w:t>9</w:t>
      </w:r>
      <w:r>
        <w:rPr>
          <w:rFonts w:eastAsia="Arial" w:cs="" w:ascii="Arial" w:hAnsi="Arial" w:asciiTheme="minorHAnsi" w:cstheme="minorBidi" w:eastAsiaTheme="minorHAnsi" w:hAnsiTheme="minorHAnsi"/>
          <w:i/>
          <w:color w:val="00000A"/>
          <w:sz w:val="20"/>
          <w:szCs w:val="20"/>
          <w:lang w:val="en-US"/>
        </w:rPr>
        <w:t>.</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The Tver region is one of the twenty most forested regions of Russia. 55% of the region's territory is covered with forests. The area of forest fund lands in the Tver region is 4874.5 thousand hectares. The total timber stock is 738.8 million cubic meters.</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 xml:space="preserve">Forest area in different parts is not the same. The north-western and northern regions are the most aforested areas. A strongly deforested area occupies the eastern part of the region, where only about 10% of the area is covered with forests. Even more deforested area is the southern one. </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The distribution of different forest types across the region is very uneven, which is due to various natural conditions and economic activities. Most of the region's territory lies in the zone of mixed forests. Supply base is in the north of Tver region and belong to the South-taiga forests zone, the region of ​​the South-taiga forests of the European part of Russian Federation.</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 xml:space="preserve">In accordance with the economic, ecological and social significance, the forests of the Tver region are classified as protective (40%) and exploitation forests (60%). Area distribution by species is: 43% of the area - coniferous species, 57% - deciduous species. </w:t>
      </w:r>
    </w:p>
    <w:p>
      <w:pPr>
        <w:pStyle w:val="2"/>
        <w:numPr>
          <w:ilvl w:val="0"/>
          <w:numId w:val="0"/>
        </w:numPr>
        <w:spacing w:lineRule="auto" w:line="360" w:before="0" w:after="0"/>
        <w:ind w:left="851" w:firstLine="720"/>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Over the past few years, the Tver region is actively developing forest lease relations. Forest sites are transferred by the state to lease loggers for up to 49 years. 60% of forests are leased out, the rest remain in state ownership. There are more than 450 forest lease contracts in the region. 99% of the leased areas are handed over for logging.</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The main use types of forests are: logging; construction, reconstruction, operation of linear objects; implementation of recreational activities; performance of works on geological study of subsoil, development of mineral deposits.</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The annual timber harvest in the region is about 4.5 million cubic meters. At the same time, logging volumes make up only 50% of the annual allowable cut, which ensures the sustainable use of forests.</w:t>
      </w:r>
    </w:p>
    <w:p>
      <w:pPr>
        <w:pStyle w:val="2"/>
        <w:numPr>
          <w:ilvl w:val="0"/>
          <w:numId w:val="0"/>
        </w:numPr>
        <w:spacing w:lineRule="auto" w:line="360" w:before="0" w:after="0"/>
        <w:ind w:left="851" w:firstLine="720"/>
        <w:rPr/>
      </w:pPr>
      <w:r>
        <w:rPr>
          <w:rFonts w:eastAsia="Arial" w:cs="" w:ascii="Arial" w:hAnsi="Arial" w:asciiTheme="minorHAnsi" w:cstheme="minorBidi" w:eastAsiaTheme="minorHAnsi" w:hAnsiTheme="minorHAnsi"/>
          <w:i/>
          <w:color w:val="00000A"/>
          <w:sz w:val="20"/>
          <w:szCs w:val="20"/>
        </w:rPr>
        <w:t>Logging in Laguna LLC in the reporting period (from January 1, 2019 to December 31, 2019) was performed at 538,7 hectares, of which 59,7% are clear cuts, 0% - are sanitary clear cuts and 40,3% - are thinnings. The maximum cutting area is 22,2 hectares. The average size of clear-cut area during the reporting period was 8,7 hectares.</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On forest areas leased for logging, reforestation and maintenance is carried out by tenants of these forest areas.</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The main element of forest reproduction is artificial reforestation, which is carried out by planting seedlings on clear cuts and other non-forested areas. In the Tver region, 60% of the total reforestation is carried out by the establishment of planted forest, 40% - by the promotion of natural regeneration. In particular, in 2018 the artificial reforestation in supply base was carried out at 51,6% of the area for reforestation. The contribution to natural regeneration was 48,4% in area.</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There are 5 permanent forest nurseries in the Tver region for growing a standard softwood seedlings.</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Protection of forests is carried out by public authorities, local authorities within their authority. In the Tver region, a multi-level system for protecting forests from fires has been formed. It includes the implementation of fire safety measures in forests and extinguishing fires in forests.</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Timber industry complex of the Tver region is well diversified and is represented almost in all directions - from logging to production of deep wood processing products. There are 153 boiler houses operating on wood fuel out of 805 in the region.</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There are more than 10 wood pellets producers in the region. TekhnoArs LLC takes 6th place in the region with a capacity of 6 thousand tons per year.</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The forest sector of the Tver region is a significant part of the region's economy. Compared with other economy sectors, the forest sector is profitable and does not require state subsidies.</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The socio-economic function of logging companies in the Tver region is regulated by legislation, in particular, 2% of the filling volume of ​​coniferous species and 4% of hardwood shall be allocated for construction and heating needs of local people. When hiring, preference is mainly given to the local population.</w:t>
      </w:r>
    </w:p>
    <w:p>
      <w:pPr>
        <w:pStyle w:val="2"/>
        <w:numPr>
          <w:ilvl w:val="0"/>
          <w:numId w:val="0"/>
        </w:numPr>
        <w:spacing w:lineRule="auto" w:line="360" w:before="0" w:after="0"/>
        <w:ind w:left="851" w:hanging="851"/>
        <w:rPr>
          <w:rFonts w:ascii="Arial" w:hAnsi="Arial" w:eastAsia="Arial" w:cs="" w:asciiTheme="minorHAnsi" w:cstheme="minorBidi" w:eastAsiaTheme="minorHAnsi" w:hAnsiTheme="minorHAnsi"/>
          <w:i/>
          <w:i/>
          <w:color w:val="00000A"/>
          <w:sz w:val="20"/>
          <w:szCs w:val="20"/>
        </w:rPr>
      </w:pPr>
      <w:r>
        <w:rPr>
          <w:rFonts w:eastAsia="Arial" w:cs="" w:ascii="Arial" w:hAnsi="Arial" w:asciiTheme="minorHAnsi" w:cstheme="minorBidi" w:eastAsiaTheme="minorHAnsi" w:hAnsiTheme="minorHAnsi"/>
          <w:i/>
          <w:color w:val="00000A"/>
          <w:sz w:val="20"/>
          <w:szCs w:val="20"/>
        </w:rPr>
        <w:tab/>
        <w:t>CITES and IUCN tree species are not found within the supply base.</w:t>
      </w:r>
    </w:p>
    <w:p>
      <w:pPr>
        <w:pStyle w:val="2"/>
        <w:numPr>
          <w:ilvl w:val="0"/>
          <w:numId w:val="0"/>
        </w:numPr>
        <w:spacing w:lineRule="auto" w:line="360" w:before="0" w:after="0"/>
        <w:ind w:left="851" w:hanging="851"/>
        <w:rPr/>
      </w:pPr>
      <w:r>
        <w:rPr>
          <w:rFonts w:eastAsia="Arial" w:cs="" w:ascii="Arial" w:hAnsi="Arial" w:asciiTheme="minorHAnsi" w:cstheme="minorBidi" w:eastAsiaTheme="minorHAnsi" w:hAnsiTheme="minorHAnsi"/>
          <w:i/>
          <w:color w:val="00000A"/>
          <w:sz w:val="20"/>
          <w:szCs w:val="20"/>
        </w:rPr>
        <w:tab/>
        <w:t>The composition of the resource base according to taxation materials of 2012 is as follows:</w:t>
      </w:r>
      <w:r>
        <w:rPr>
          <w:rFonts w:eastAsia="Arial" w:cs="" w:ascii="Times New Roman" w:hAnsi="Times New Roman" w:cstheme="minorBidi" w:eastAsiaTheme="minorHAnsi"/>
          <w:b w:val="false"/>
          <w:i w:val="false"/>
          <w:caps w:val="false"/>
          <w:smallCaps w:val="false"/>
          <w:color w:val="000000"/>
          <w:spacing w:val="0"/>
          <w:sz w:val="28"/>
          <w:szCs w:val="20"/>
        </w:rPr>
        <w:t xml:space="preserve">  </w:t>
      </w:r>
      <w:r>
        <w:rPr>
          <w:rFonts w:eastAsia="Arial" w:cs="" w:ascii="Arial" w:hAnsi="Arial" w:asciiTheme="minorHAnsi" w:cstheme="minorBidi" w:eastAsiaTheme="minorHAnsi" w:hAnsiTheme="minorHAnsi"/>
          <w:b w:val="false"/>
          <w:i/>
          <w:iCs/>
          <w:caps w:val="false"/>
          <w:smallCaps w:val="false"/>
          <w:color w:val="000000"/>
          <w:spacing w:val="0"/>
          <w:sz w:val="20"/>
          <w:szCs w:val="20"/>
        </w:rPr>
        <w:t>lease plot №47(</w:t>
      </w:r>
      <w:bookmarkStart w:id="5" w:name="__DdeLink__2454_3586492681"/>
      <w:r>
        <w:rPr>
          <w:rFonts w:eastAsia="Arial" w:cs="" w:ascii="Arial" w:hAnsi="Arial" w:asciiTheme="minorHAnsi" w:cstheme="minorBidi" w:eastAsiaTheme="minorHAnsi" w:hAnsiTheme="minorHAnsi"/>
          <w:b w:val="false"/>
          <w:i/>
          <w:iCs/>
          <w:caps w:val="false"/>
          <w:smallCaps w:val="false"/>
          <w:color w:val="000000"/>
          <w:spacing w:val="0"/>
          <w:sz w:val="20"/>
          <w:szCs w:val="20"/>
        </w:rPr>
        <w:t>with an area of</w:t>
      </w:r>
      <w:bookmarkEnd w:id="5"/>
      <w:r>
        <w:rPr>
          <w:rFonts w:eastAsia="Arial" w:cs="" w:ascii="Arial" w:hAnsi="Arial" w:asciiTheme="minorHAnsi" w:cstheme="minorBidi" w:eastAsiaTheme="minorHAnsi" w:hAnsiTheme="minorHAnsi"/>
          <w:b w:val="false"/>
          <w:i/>
          <w:iCs/>
          <w:caps w:val="false"/>
          <w:smallCaps w:val="false"/>
          <w:color w:val="000000"/>
          <w:spacing w:val="0"/>
          <w:sz w:val="20"/>
          <w:szCs w:val="20"/>
        </w:rPr>
        <w:t xml:space="preserve"> 6445 ha): 4 Birch 2 Spruce 2 Gray Alder 1 Aspen 1 Pine + Willow,</w:t>
      </w:r>
      <w:r>
        <w:rPr>
          <w:rFonts w:eastAsia="Arial" w:cs="" w:ascii="Arial" w:hAnsi="Arial" w:asciiTheme="minorHAnsi" w:cstheme="minorBidi" w:eastAsiaTheme="minorHAnsi" w:hAnsiTheme="minorHAnsi"/>
          <w:i/>
          <w:iCs/>
          <w:color w:val="00000A"/>
          <w:sz w:val="20"/>
          <w:szCs w:val="20"/>
        </w:rPr>
        <w:t xml:space="preserve"> </w:t>
      </w:r>
      <w:r>
        <w:rPr>
          <w:rFonts w:eastAsia="Arial" w:cs="" w:ascii="Arial" w:hAnsi="Arial" w:asciiTheme="minorHAnsi" w:cstheme="minorBidi" w:eastAsiaTheme="minorHAnsi" w:hAnsiTheme="minorHAnsi"/>
          <w:i/>
          <w:color w:val="00000A"/>
          <w:sz w:val="20"/>
          <w:szCs w:val="20"/>
        </w:rPr>
        <w:t xml:space="preserve"> lease plot </w:t>
      </w:r>
      <w:r>
        <w:rPr>
          <w:rFonts w:eastAsia="Arial" w:cs="" w:ascii="Arial" w:hAnsi="Arial" w:asciiTheme="minorHAnsi" w:cstheme="minorBidi" w:eastAsiaTheme="minorHAnsi" w:hAnsiTheme="minorHAnsi"/>
          <w:i/>
          <w:color w:val="00000A"/>
          <w:sz w:val="20"/>
          <w:szCs w:val="20"/>
          <w:lang w:val="en-US"/>
        </w:rPr>
        <w:t>№18</w:t>
      </w:r>
      <w:r>
        <w:rPr>
          <w:rFonts w:eastAsia="Arial" w:cs="" w:ascii="Arial" w:hAnsi="Arial" w:asciiTheme="minorHAnsi" w:cstheme="minorBidi" w:eastAsiaTheme="minorHAnsi" w:hAnsiTheme="minorHAnsi"/>
          <w:i/>
          <w:color w:val="00000A"/>
          <w:sz w:val="20"/>
          <w:szCs w:val="20"/>
        </w:rPr>
        <w:t xml:space="preserve"> (</w:t>
      </w:r>
      <w:r>
        <w:rPr>
          <w:rFonts w:eastAsia="Arial" w:cs="" w:ascii="Arial" w:hAnsi="Arial" w:asciiTheme="minorHAnsi" w:cstheme="minorBidi" w:eastAsiaTheme="minorHAnsi" w:hAnsiTheme="minorHAnsi"/>
          <w:b w:val="false"/>
          <w:i/>
          <w:iCs/>
          <w:caps w:val="false"/>
          <w:smallCaps w:val="false"/>
          <w:color w:val="000000"/>
          <w:spacing w:val="0"/>
          <w:sz w:val="20"/>
          <w:szCs w:val="20"/>
        </w:rPr>
        <w:t xml:space="preserve">with an area of </w:t>
      </w:r>
      <w:r>
        <w:rPr>
          <w:rFonts w:eastAsia="Arial" w:cs="" w:ascii="Arial" w:hAnsi="Arial" w:asciiTheme="minorHAnsi" w:cstheme="minorBidi" w:eastAsiaTheme="minorHAnsi" w:hAnsiTheme="minorHAnsi"/>
          <w:i/>
          <w:color w:val="00000A"/>
          <w:sz w:val="20"/>
          <w:szCs w:val="20"/>
        </w:rPr>
        <w:t xml:space="preserve">9916 ha): 4 Spruce,1 Pine, 2 Birch 1 Gray Alder 1 Aspen; lease plot </w:t>
      </w:r>
      <w:r>
        <w:rPr>
          <w:rFonts w:eastAsia="Arial" w:cs="" w:ascii="Arial" w:hAnsi="Arial" w:asciiTheme="minorHAnsi" w:cstheme="minorBidi" w:eastAsiaTheme="minorHAnsi" w:hAnsiTheme="minorHAnsi"/>
          <w:i/>
          <w:color w:val="00000A"/>
          <w:sz w:val="20"/>
          <w:szCs w:val="20"/>
          <w:lang w:val="en-US"/>
        </w:rPr>
        <w:t>№6</w:t>
      </w:r>
      <w:r>
        <w:rPr>
          <w:rFonts w:eastAsia="Arial" w:cs="" w:ascii="Arial" w:hAnsi="Arial" w:asciiTheme="minorHAnsi" w:cstheme="minorBidi" w:eastAsiaTheme="minorHAnsi" w:hAnsiTheme="minorHAnsi"/>
          <w:i/>
          <w:color w:val="00000A"/>
          <w:sz w:val="20"/>
          <w:szCs w:val="20"/>
        </w:rPr>
        <w:t xml:space="preserve"> (with an area of  ​​74929 ha): 5 Pine 1 Spruce 4 Birch + Aspen, Gray alder, Black alder, Larch, Willow. However, for sawing LLC "Laguna" uses only Norway spruce (Picea abies) and Skots pine (Pinus sylvestris). These sawmill residues are used as feedstock for the pellet production of TechnoArs LLC.</w:t>
      </w:r>
    </w:p>
    <w:p>
      <w:pPr>
        <w:pStyle w:val="2"/>
        <w:numPr>
          <w:ilvl w:val="0"/>
          <w:numId w:val="0"/>
        </w:numPr>
        <w:spacing w:lineRule="auto" w:line="360" w:before="0" w:after="0"/>
        <w:ind w:left="851" w:hanging="851"/>
        <w:rPr>
          <w:lang w:val="en-US"/>
        </w:rPr>
      </w:pPr>
      <w:r>
        <w:rPr>
          <w:rFonts w:eastAsia="Arial" w:cs="" w:ascii="Arial" w:hAnsi="Arial" w:asciiTheme="minorHAnsi" w:cstheme="minorBidi" w:eastAsiaTheme="minorHAnsi" w:hAnsiTheme="minorHAnsi"/>
          <w:i/>
          <w:color w:val="00000A"/>
          <w:sz w:val="20"/>
          <w:szCs w:val="20"/>
        </w:rPr>
        <w:tab/>
        <w:t>The only supplier of raw materials for LLC TechnoArs - LLC Laguna has passed forest management certification and FSC CoC certification and obtained certificates NC-FM/COC-026210 и NC-COC-026210. All feedstock supplied for production and heat generation to TechnoArs LLC will be 100% SBP-compliant secondary feedstock.</w:t>
      </w:r>
    </w:p>
    <w:p>
      <w:pPr>
        <w:pStyle w:val="Normal"/>
        <w:rPr>
          <w:i/>
          <w:i/>
          <w:lang w:val="en-US"/>
        </w:rPr>
      </w:pPr>
      <w:r>
        <w:rPr>
          <w:i/>
          <w:lang w:val="en-US"/>
        </w:rPr>
        <w:t>Table 1. Distribution of feedstock by types of SBP product groups for the first reporting period.</w:t>
      </w:r>
    </w:p>
    <w:tbl>
      <w:tblPr>
        <w:tblStyle w:val="ae"/>
        <w:tblW w:w="9628" w:type="dxa"/>
        <w:jc w:val="left"/>
        <w:tblInd w:w="0" w:type="dxa"/>
        <w:tblCellMar>
          <w:top w:w="0" w:type="dxa"/>
          <w:left w:w="88" w:type="dxa"/>
          <w:bottom w:w="0" w:type="dxa"/>
          <w:right w:w="108" w:type="dxa"/>
        </w:tblCellMar>
        <w:tblLook w:firstRow="1" w:noVBand="1" w:lastRow="0" w:firstColumn="1" w:lastColumn="0" w:noHBand="0" w:val="04a0"/>
      </w:tblPr>
      <w:tblGrid>
        <w:gridCol w:w="2864"/>
        <w:gridCol w:w="2620"/>
        <w:gridCol w:w="1470"/>
        <w:gridCol w:w="2673"/>
      </w:tblGrid>
      <w:tr>
        <w:trPr>
          <w:trHeight w:val="863" w:hRule="atLeast"/>
        </w:trPr>
        <w:tc>
          <w:tcPr>
            <w:tcW w:w="2864" w:type="dxa"/>
            <w:tcBorders/>
            <w:shd w:fill="auto" w:val="clear"/>
            <w:tcMar>
              <w:left w:w="88" w:type="dxa"/>
            </w:tcMar>
          </w:tcPr>
          <w:p>
            <w:pPr>
              <w:pStyle w:val="Normal"/>
              <w:spacing w:lineRule="auto" w:line="240" w:before="0" w:after="0"/>
              <w:jc w:val="both"/>
              <w:rPr>
                <w:i/>
                <w:i/>
              </w:rPr>
            </w:pPr>
            <w:r>
              <w:rPr>
                <w:i/>
              </w:rPr>
              <w:t>SBP product group</w:t>
            </w:r>
          </w:p>
        </w:tc>
        <w:tc>
          <w:tcPr>
            <w:tcW w:w="2620" w:type="dxa"/>
            <w:tcBorders/>
            <w:shd w:fill="auto" w:val="clear"/>
            <w:tcMar>
              <w:left w:w="88" w:type="dxa"/>
            </w:tcMar>
          </w:tcPr>
          <w:p>
            <w:pPr>
              <w:pStyle w:val="Normal"/>
              <w:spacing w:lineRule="auto" w:line="240" w:before="0" w:after="0"/>
              <w:jc w:val="center"/>
              <w:rPr>
                <w:i/>
                <w:i/>
                <w:lang w:val="ru-RU"/>
              </w:rPr>
            </w:pPr>
            <w:r>
              <w:rPr>
                <w:i/>
                <w:lang w:val="ru-RU"/>
              </w:rPr>
              <w:t>% in the total supply</w:t>
            </w:r>
          </w:p>
        </w:tc>
        <w:tc>
          <w:tcPr>
            <w:tcW w:w="1470" w:type="dxa"/>
            <w:tcBorders/>
            <w:shd w:fill="auto" w:val="clear"/>
            <w:tcMar>
              <w:left w:w="88" w:type="dxa"/>
            </w:tcMar>
          </w:tcPr>
          <w:p>
            <w:pPr>
              <w:pStyle w:val="Normal"/>
              <w:spacing w:lineRule="auto" w:line="240" w:before="0" w:after="0"/>
              <w:jc w:val="center"/>
              <w:rPr>
                <w:i/>
                <w:i/>
              </w:rPr>
            </w:pPr>
            <w:r>
              <w:rPr>
                <w:i/>
              </w:rPr>
              <w:t>Number of suppliers</w:t>
            </w:r>
          </w:p>
        </w:tc>
        <w:tc>
          <w:tcPr>
            <w:tcW w:w="2673" w:type="dxa"/>
            <w:tcBorders/>
            <w:shd w:fill="auto" w:val="clear"/>
            <w:tcMar>
              <w:left w:w="88" w:type="dxa"/>
            </w:tcMar>
          </w:tcPr>
          <w:p>
            <w:pPr>
              <w:pStyle w:val="Normal"/>
              <w:spacing w:lineRule="auto" w:line="240" w:before="0" w:after="0"/>
              <w:jc w:val="center"/>
              <w:rPr>
                <w:i/>
                <w:i/>
                <w:lang w:val="ru-RU"/>
              </w:rPr>
            </w:pPr>
            <w:r>
              <w:rPr>
                <w:i/>
                <w:lang w:val="ru-RU"/>
              </w:rPr>
              <w:t>Tree species composition</w:t>
            </w:r>
          </w:p>
        </w:tc>
      </w:tr>
      <w:tr>
        <w:trPr/>
        <w:tc>
          <w:tcPr>
            <w:tcW w:w="2864" w:type="dxa"/>
            <w:tcBorders/>
            <w:shd w:fill="auto" w:val="clear"/>
            <w:tcMar>
              <w:left w:w="88" w:type="dxa"/>
            </w:tcMar>
          </w:tcPr>
          <w:p>
            <w:pPr>
              <w:pStyle w:val="Normal"/>
              <w:spacing w:lineRule="auto" w:line="240" w:before="0" w:after="0"/>
              <w:jc w:val="both"/>
              <w:rPr>
                <w:i/>
                <w:i/>
              </w:rPr>
            </w:pPr>
            <w:r>
              <w:rPr>
                <w:i/>
              </w:rPr>
              <w:t>Controlled feedstock</w:t>
            </w:r>
          </w:p>
        </w:tc>
        <w:tc>
          <w:tcPr>
            <w:tcW w:w="2620" w:type="dxa"/>
            <w:tcBorders/>
            <w:shd w:fill="auto" w:val="clear"/>
            <w:tcMar>
              <w:left w:w="88" w:type="dxa"/>
            </w:tcMar>
          </w:tcPr>
          <w:p>
            <w:pPr>
              <w:pStyle w:val="Normal"/>
              <w:spacing w:lineRule="auto" w:line="240" w:before="0" w:after="0"/>
              <w:jc w:val="center"/>
              <w:rPr>
                <w:i/>
                <w:i/>
              </w:rPr>
            </w:pPr>
            <w:r>
              <w:rPr>
                <w:i/>
              </w:rPr>
              <w:t>0%</w:t>
            </w:r>
          </w:p>
        </w:tc>
        <w:tc>
          <w:tcPr>
            <w:tcW w:w="1470" w:type="dxa"/>
            <w:tcBorders/>
            <w:shd w:fill="auto" w:val="clear"/>
            <w:tcMar>
              <w:left w:w="88" w:type="dxa"/>
            </w:tcMar>
          </w:tcPr>
          <w:p>
            <w:pPr>
              <w:pStyle w:val="Normal"/>
              <w:spacing w:lineRule="auto" w:line="240" w:before="0" w:after="0"/>
              <w:jc w:val="center"/>
              <w:rPr>
                <w:i/>
                <w:i/>
              </w:rPr>
            </w:pPr>
            <w:r>
              <w:rPr>
                <w:i/>
              </w:rPr>
              <w:t>0</w:t>
            </w:r>
          </w:p>
        </w:tc>
        <w:tc>
          <w:tcPr>
            <w:tcW w:w="2673" w:type="dxa"/>
            <w:tcBorders/>
            <w:shd w:fill="auto" w:val="clear"/>
            <w:tcMar>
              <w:left w:w="88" w:type="dxa"/>
            </w:tcMar>
          </w:tcPr>
          <w:p>
            <w:pPr>
              <w:pStyle w:val="Normal"/>
              <w:spacing w:lineRule="auto" w:line="240" w:before="0" w:after="0"/>
              <w:jc w:val="center"/>
              <w:rPr>
                <w:i/>
                <w:i/>
              </w:rPr>
            </w:pPr>
            <w:r>
              <w:rPr>
                <w:i/>
              </w:rPr>
              <w:t>-</w:t>
            </w:r>
          </w:p>
        </w:tc>
      </w:tr>
      <w:tr>
        <w:trPr>
          <w:trHeight w:val="401" w:hRule="atLeast"/>
        </w:trPr>
        <w:tc>
          <w:tcPr>
            <w:tcW w:w="2864" w:type="dxa"/>
            <w:tcBorders/>
            <w:shd w:fill="auto" w:val="clear"/>
            <w:tcMar>
              <w:left w:w="88" w:type="dxa"/>
            </w:tcMar>
          </w:tcPr>
          <w:p>
            <w:pPr>
              <w:pStyle w:val="Normal"/>
              <w:spacing w:lineRule="auto" w:line="240" w:before="0" w:after="0"/>
              <w:jc w:val="both"/>
              <w:rPr>
                <w:i/>
                <w:i/>
              </w:rPr>
            </w:pPr>
            <w:r>
              <w:rPr>
                <w:i/>
              </w:rPr>
              <w:t>SBP - compliant primary feedstock</w:t>
            </w:r>
          </w:p>
        </w:tc>
        <w:tc>
          <w:tcPr>
            <w:tcW w:w="2620" w:type="dxa"/>
            <w:tcBorders/>
            <w:shd w:fill="auto" w:val="clear"/>
            <w:tcMar>
              <w:left w:w="88" w:type="dxa"/>
            </w:tcMar>
          </w:tcPr>
          <w:p>
            <w:pPr>
              <w:pStyle w:val="Normal"/>
              <w:spacing w:lineRule="auto" w:line="240" w:before="0" w:after="0"/>
              <w:jc w:val="center"/>
              <w:rPr>
                <w:i/>
                <w:i/>
              </w:rPr>
            </w:pPr>
            <w:r>
              <w:rPr>
                <w:i/>
              </w:rPr>
              <w:t>0%</w:t>
            </w:r>
          </w:p>
        </w:tc>
        <w:tc>
          <w:tcPr>
            <w:tcW w:w="1470" w:type="dxa"/>
            <w:tcBorders/>
            <w:shd w:fill="auto" w:val="clear"/>
            <w:tcMar>
              <w:left w:w="88" w:type="dxa"/>
            </w:tcMar>
          </w:tcPr>
          <w:p>
            <w:pPr>
              <w:pStyle w:val="Normal"/>
              <w:spacing w:lineRule="auto" w:line="240" w:before="0" w:after="0"/>
              <w:jc w:val="center"/>
              <w:rPr>
                <w:i/>
                <w:i/>
              </w:rPr>
            </w:pPr>
            <w:r>
              <w:rPr>
                <w:i/>
              </w:rPr>
              <w:t>0</w:t>
            </w:r>
          </w:p>
        </w:tc>
        <w:tc>
          <w:tcPr>
            <w:tcW w:w="2673" w:type="dxa"/>
            <w:tcBorders/>
            <w:shd w:fill="auto" w:val="clear"/>
            <w:tcMar>
              <w:left w:w="88" w:type="dxa"/>
            </w:tcMar>
          </w:tcPr>
          <w:p>
            <w:pPr>
              <w:pStyle w:val="Normal"/>
              <w:spacing w:lineRule="auto" w:line="240" w:before="0" w:after="0"/>
              <w:jc w:val="center"/>
              <w:rPr>
                <w:i/>
                <w:i/>
              </w:rPr>
            </w:pPr>
            <w:r>
              <w:rPr>
                <w:i/>
              </w:rPr>
              <w:t>-</w:t>
            </w:r>
          </w:p>
        </w:tc>
      </w:tr>
      <w:tr>
        <w:trPr/>
        <w:tc>
          <w:tcPr>
            <w:tcW w:w="2864" w:type="dxa"/>
            <w:tcBorders/>
            <w:shd w:fill="auto" w:val="clear"/>
            <w:tcMar>
              <w:left w:w="88" w:type="dxa"/>
            </w:tcMar>
          </w:tcPr>
          <w:p>
            <w:pPr>
              <w:pStyle w:val="Normal"/>
              <w:spacing w:lineRule="auto" w:line="240" w:before="0" w:after="0"/>
              <w:jc w:val="both"/>
              <w:rPr>
                <w:i/>
                <w:i/>
              </w:rPr>
            </w:pPr>
            <w:r>
              <w:rPr>
                <w:i/>
              </w:rPr>
              <w:t>SBP - compliant secondary feedstock</w:t>
            </w:r>
          </w:p>
        </w:tc>
        <w:tc>
          <w:tcPr>
            <w:tcW w:w="2620" w:type="dxa"/>
            <w:tcBorders/>
            <w:shd w:fill="auto" w:val="clear"/>
            <w:tcMar>
              <w:left w:w="88" w:type="dxa"/>
            </w:tcMar>
          </w:tcPr>
          <w:p>
            <w:pPr>
              <w:pStyle w:val="Normal"/>
              <w:spacing w:lineRule="auto" w:line="240" w:before="0" w:after="0"/>
              <w:jc w:val="center"/>
              <w:rPr>
                <w:i/>
                <w:i/>
              </w:rPr>
            </w:pPr>
            <w:r>
              <w:rPr>
                <w:i/>
                <w:lang w:val="ru-RU"/>
              </w:rPr>
              <w:t>10</w:t>
            </w:r>
            <w:r>
              <w:rPr>
                <w:i/>
              </w:rPr>
              <w:t>0 %</w:t>
            </w:r>
          </w:p>
        </w:tc>
        <w:tc>
          <w:tcPr>
            <w:tcW w:w="1470" w:type="dxa"/>
            <w:tcBorders/>
            <w:shd w:fill="auto" w:val="clear"/>
            <w:tcMar>
              <w:left w:w="88" w:type="dxa"/>
            </w:tcMar>
          </w:tcPr>
          <w:p>
            <w:pPr>
              <w:pStyle w:val="Normal"/>
              <w:spacing w:lineRule="auto" w:line="240" w:before="0" w:after="0"/>
              <w:jc w:val="center"/>
              <w:rPr>
                <w:i/>
                <w:i/>
              </w:rPr>
            </w:pPr>
            <w:r>
              <w:rPr>
                <w:i/>
              </w:rPr>
              <w:t>0</w:t>
            </w:r>
          </w:p>
        </w:tc>
        <w:tc>
          <w:tcPr>
            <w:tcW w:w="2673" w:type="dxa"/>
            <w:tcBorders/>
            <w:shd w:fill="auto" w:val="clear"/>
            <w:tcMar>
              <w:left w:w="88" w:type="dxa"/>
            </w:tcMar>
          </w:tcPr>
          <w:p>
            <w:pPr>
              <w:pStyle w:val="Normal"/>
              <w:spacing w:lineRule="auto" w:line="240" w:before="0" w:after="0"/>
              <w:jc w:val="center"/>
              <w:rPr>
                <w:i/>
                <w:i/>
              </w:rPr>
            </w:pPr>
            <w:r>
              <w:rPr>
                <w:i/>
              </w:rPr>
              <w:t>9 Spruce 1 Pine</w:t>
            </w:r>
          </w:p>
        </w:tc>
      </w:tr>
      <w:tr>
        <w:trPr/>
        <w:tc>
          <w:tcPr>
            <w:tcW w:w="2864" w:type="dxa"/>
            <w:tcBorders/>
            <w:shd w:fill="auto" w:val="clear"/>
            <w:tcMar>
              <w:left w:w="88" w:type="dxa"/>
            </w:tcMar>
          </w:tcPr>
          <w:p>
            <w:pPr>
              <w:pStyle w:val="Normal"/>
              <w:spacing w:lineRule="auto" w:line="240" w:before="0" w:after="0"/>
              <w:jc w:val="both"/>
              <w:rPr>
                <w:i/>
                <w:i/>
              </w:rPr>
            </w:pPr>
            <w:r>
              <w:rPr>
                <w:i/>
              </w:rPr>
              <w:t>SBP - compliant tretiary feedstock</w:t>
            </w:r>
          </w:p>
        </w:tc>
        <w:tc>
          <w:tcPr>
            <w:tcW w:w="2620" w:type="dxa"/>
            <w:tcBorders/>
            <w:shd w:fill="auto" w:val="clear"/>
            <w:tcMar>
              <w:left w:w="88" w:type="dxa"/>
            </w:tcMar>
          </w:tcPr>
          <w:p>
            <w:pPr>
              <w:pStyle w:val="Normal"/>
              <w:spacing w:lineRule="auto" w:line="240" w:before="0" w:after="0"/>
              <w:jc w:val="center"/>
              <w:rPr>
                <w:i/>
                <w:i/>
              </w:rPr>
            </w:pPr>
            <w:r>
              <w:rPr>
                <w:i/>
              </w:rPr>
              <w:t>0%</w:t>
            </w:r>
          </w:p>
        </w:tc>
        <w:tc>
          <w:tcPr>
            <w:tcW w:w="1470" w:type="dxa"/>
            <w:tcBorders/>
            <w:shd w:fill="auto" w:val="clear"/>
            <w:tcMar>
              <w:left w:w="88" w:type="dxa"/>
            </w:tcMar>
          </w:tcPr>
          <w:p>
            <w:pPr>
              <w:pStyle w:val="Normal"/>
              <w:spacing w:lineRule="auto" w:line="240" w:before="0" w:after="0"/>
              <w:jc w:val="center"/>
              <w:rPr>
                <w:i/>
                <w:i/>
              </w:rPr>
            </w:pPr>
            <w:r>
              <w:rPr>
                <w:i/>
              </w:rPr>
              <w:t>0</w:t>
            </w:r>
          </w:p>
        </w:tc>
        <w:tc>
          <w:tcPr>
            <w:tcW w:w="2673" w:type="dxa"/>
            <w:tcBorders/>
            <w:shd w:fill="auto" w:val="clear"/>
            <w:tcMar>
              <w:left w:w="88" w:type="dxa"/>
            </w:tcMar>
          </w:tcPr>
          <w:p>
            <w:pPr>
              <w:pStyle w:val="Normal"/>
              <w:spacing w:lineRule="auto" w:line="240" w:before="0" w:after="0"/>
              <w:jc w:val="center"/>
              <w:rPr>
                <w:i/>
                <w:i/>
              </w:rPr>
            </w:pPr>
            <w:r>
              <w:rPr>
                <w:i/>
              </w:rPr>
              <w:t>-</w:t>
            </w:r>
          </w:p>
        </w:tc>
      </w:tr>
      <w:tr>
        <w:trPr/>
        <w:tc>
          <w:tcPr>
            <w:tcW w:w="2864" w:type="dxa"/>
            <w:tcBorders/>
            <w:shd w:fill="auto" w:val="clear"/>
            <w:tcMar>
              <w:left w:w="88" w:type="dxa"/>
            </w:tcMar>
          </w:tcPr>
          <w:p>
            <w:pPr>
              <w:pStyle w:val="Normal"/>
              <w:spacing w:lineRule="auto" w:line="240" w:before="0" w:after="0"/>
              <w:jc w:val="both"/>
              <w:rPr>
                <w:i/>
                <w:i/>
              </w:rPr>
            </w:pPr>
            <w:r>
              <w:rPr>
                <w:i/>
              </w:rPr>
              <w:t>SBP non-compliant feedstock</w:t>
            </w:r>
          </w:p>
        </w:tc>
        <w:tc>
          <w:tcPr>
            <w:tcW w:w="2620" w:type="dxa"/>
            <w:tcBorders/>
            <w:shd w:fill="auto" w:val="clear"/>
            <w:tcMar>
              <w:left w:w="88" w:type="dxa"/>
            </w:tcMar>
          </w:tcPr>
          <w:p>
            <w:pPr>
              <w:pStyle w:val="Normal"/>
              <w:spacing w:lineRule="auto" w:line="240" w:before="0" w:after="0"/>
              <w:jc w:val="center"/>
              <w:rPr>
                <w:i/>
                <w:i/>
              </w:rPr>
            </w:pPr>
            <w:r>
              <w:rPr>
                <w:i/>
              </w:rPr>
              <w:t>0%</w:t>
            </w:r>
          </w:p>
        </w:tc>
        <w:tc>
          <w:tcPr>
            <w:tcW w:w="1470" w:type="dxa"/>
            <w:tcBorders/>
            <w:shd w:fill="auto" w:val="clear"/>
            <w:tcMar>
              <w:left w:w="88" w:type="dxa"/>
            </w:tcMar>
          </w:tcPr>
          <w:p>
            <w:pPr>
              <w:pStyle w:val="Normal"/>
              <w:spacing w:lineRule="auto" w:line="240" w:before="0" w:after="0"/>
              <w:jc w:val="center"/>
              <w:rPr>
                <w:i/>
                <w:i/>
              </w:rPr>
            </w:pPr>
            <w:r>
              <w:rPr>
                <w:i/>
              </w:rPr>
              <w:t>1</w:t>
            </w:r>
          </w:p>
        </w:tc>
        <w:tc>
          <w:tcPr>
            <w:tcW w:w="2673" w:type="dxa"/>
            <w:tcBorders/>
            <w:shd w:fill="auto" w:val="clear"/>
            <w:tcMar>
              <w:left w:w="88" w:type="dxa"/>
            </w:tcMar>
          </w:tcPr>
          <w:p>
            <w:pPr>
              <w:pStyle w:val="Normal"/>
              <w:spacing w:lineRule="auto" w:line="240" w:before="0" w:after="0"/>
              <w:jc w:val="center"/>
              <w:rPr>
                <w:i/>
                <w:i/>
                <w:lang w:val="ru-RU"/>
              </w:rPr>
            </w:pPr>
            <w:r>
              <w:rPr>
                <w:i/>
                <w:lang w:val="ru-RU"/>
              </w:rPr>
              <w:t>-</w:t>
            </w:r>
          </w:p>
        </w:tc>
      </w:tr>
    </w:tbl>
    <w:p>
      <w:pPr>
        <w:pStyle w:val="Normal"/>
        <w:rPr>
          <w:i/>
          <w:i/>
        </w:rPr>
      </w:pPr>
      <w:r>
        <w:rPr>
          <w:i/>
        </w:rPr>
      </w:r>
    </w:p>
    <w:p>
      <w:pPr>
        <w:pStyle w:val="2"/>
        <w:numPr>
          <w:ilvl w:val="1"/>
          <w:numId w:val="2"/>
        </w:numPr>
        <w:ind w:left="851" w:hanging="851"/>
        <w:rPr/>
      </w:pPr>
      <w:bookmarkStart w:id="6" w:name="_Toc454366455"/>
      <w:bookmarkStart w:id="7" w:name="_Toc412646197"/>
      <w:bookmarkEnd w:id="6"/>
      <w:bookmarkEnd w:id="7"/>
      <w:r>
        <w:rPr/>
        <w:t>Actions taken to promote certification amongst feedstock supplier</w:t>
      </w:r>
    </w:p>
    <w:p>
      <w:pPr>
        <w:pStyle w:val="2"/>
        <w:numPr>
          <w:ilvl w:val="0"/>
          <w:numId w:val="0"/>
        </w:numPr>
        <w:ind w:left="851" w:hanging="851"/>
        <w:rPr/>
      </w:pPr>
      <w:r>
        <w:rPr>
          <w:rFonts w:eastAsia="Arial" w:cs="" w:ascii="Arial" w:hAnsi="Arial" w:asciiTheme="minorHAnsi" w:cstheme="minorBidi" w:eastAsiaTheme="minorHAnsi" w:hAnsiTheme="minorHAnsi"/>
          <w:i/>
          <w:color w:val="00000A"/>
          <w:sz w:val="20"/>
          <w:szCs w:val="20"/>
        </w:rPr>
        <w:t>The only supplier of feedstock - Laguna LLC - was assessed for compliance with FSC forest management standards and FSC chain of custody.</w:t>
      </w:r>
    </w:p>
    <w:p>
      <w:pPr>
        <w:pStyle w:val="2"/>
        <w:numPr>
          <w:ilvl w:val="1"/>
          <w:numId w:val="2"/>
        </w:numPr>
        <w:ind w:left="851" w:hanging="851"/>
        <w:rPr/>
      </w:pPr>
      <w:bookmarkStart w:id="8" w:name="_Toc454366456"/>
      <w:bookmarkStart w:id="9" w:name="_Toc412646198"/>
      <w:bookmarkEnd w:id="8"/>
      <w:bookmarkEnd w:id="9"/>
      <w:r>
        <w:rPr/>
        <w:t>Final harvest sampling programme</w:t>
      </w:r>
    </w:p>
    <w:p>
      <w:pPr>
        <w:pStyle w:val="Normal"/>
        <w:rPr>
          <w:i/>
          <w:i/>
        </w:rPr>
      </w:pPr>
      <w:r>
        <w:rPr>
          <w:i/>
        </w:rPr>
        <w:t>Not applicable. OOO "TechnoArs" uses exclusively sawmill residues.</w:t>
      </w:r>
    </w:p>
    <w:p>
      <w:pPr>
        <w:pStyle w:val="2"/>
        <w:numPr>
          <w:ilvl w:val="1"/>
          <w:numId w:val="2"/>
        </w:numPr>
        <w:ind w:left="851" w:hanging="851"/>
        <w:rPr/>
      </w:pPr>
      <w:bookmarkStart w:id="10" w:name="_Toc454366457"/>
      <w:bookmarkStart w:id="11" w:name="_Toc412646199"/>
      <w:bookmarkEnd w:id="10"/>
      <w:bookmarkEnd w:id="11"/>
      <w:r>
        <w:rPr/>
        <w:t>Flow diagram of feedstock inputs showing feedstock type [optional]</w:t>
      </w:r>
    </w:p>
    <w:p>
      <w:pPr>
        <w:pStyle w:val="Normal"/>
        <w:jc w:val="center"/>
        <w:rPr>
          <w:i/>
          <w:i/>
        </w:rPr>
      </w:pPr>
      <w:r>
        <w:rPr/>
        <w:drawing>
          <wp:inline distT="0" distB="0" distL="0" distR="0">
            <wp:extent cx="4572000" cy="27432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2"/>
        <w:numPr>
          <w:ilvl w:val="1"/>
          <w:numId w:val="2"/>
        </w:numPr>
        <w:ind w:left="851" w:hanging="851"/>
        <w:rPr/>
      </w:pPr>
      <w:bookmarkStart w:id="12" w:name="_Toc454366458"/>
      <w:bookmarkStart w:id="13" w:name="_Toc412646200"/>
      <w:bookmarkEnd w:id="12"/>
      <w:bookmarkEnd w:id="13"/>
      <w:r>
        <w:rPr/>
        <w:t>Quantification of the Supply Base</w:t>
      </w:r>
    </w:p>
    <w:p>
      <w:pPr>
        <w:pStyle w:val="5"/>
        <w:rPr>
          <w:sz w:val="28"/>
          <w:szCs w:val="28"/>
        </w:rPr>
      </w:pPr>
      <w:r>
        <w:rPr>
          <w:sz w:val="28"/>
          <w:szCs w:val="28"/>
        </w:rPr>
        <w:t>Supply Base</w:t>
      </w:r>
    </w:p>
    <w:p>
      <w:pPr>
        <w:pStyle w:val="ListParagraph"/>
        <w:numPr>
          <w:ilvl w:val="0"/>
          <w:numId w:val="3"/>
        </w:numPr>
        <w:rPr/>
      </w:pPr>
      <w:r>
        <w:rPr/>
        <w:t xml:space="preserve">Total Supply Base area (ha): </w:t>
        <w:tab/>
        <w:tab/>
        <w:tab/>
      </w:r>
      <w:r>
        <w:rPr>
          <w:lang w:val="en-US"/>
        </w:rPr>
        <w:t xml:space="preserve">91 290 </w:t>
      </w:r>
      <w:r>
        <w:rPr/>
        <w:t xml:space="preserve">ha </w:t>
      </w:r>
    </w:p>
    <w:p>
      <w:pPr>
        <w:pStyle w:val="ListParagraph"/>
        <w:numPr>
          <w:ilvl w:val="0"/>
          <w:numId w:val="3"/>
        </w:numPr>
        <w:rPr/>
      </w:pPr>
      <w:r>
        <w:rPr/>
        <w:t xml:space="preserve">Tenure by type (ha): </w:t>
        <w:tab/>
        <w:tab/>
        <w:tab/>
        <w:tab/>
      </w:r>
      <w:r>
        <w:rPr>
          <w:lang w:val="en-US"/>
        </w:rPr>
        <w:t xml:space="preserve">91 290 </w:t>
      </w:r>
      <w:r>
        <w:rPr/>
        <w:t>ha public (lease of state owned forests)</w:t>
      </w:r>
    </w:p>
    <w:p>
      <w:pPr>
        <w:pStyle w:val="ListParagraph"/>
        <w:numPr>
          <w:ilvl w:val="0"/>
          <w:numId w:val="3"/>
        </w:numPr>
        <w:rPr/>
      </w:pPr>
      <w:r>
        <w:rPr/>
        <w:t>Forest by type (ha):</w:t>
        <w:tab/>
        <w:tab/>
        <w:tab/>
        <w:tab/>
        <w:tab/>
      </w:r>
      <w:r>
        <w:rPr>
          <w:lang w:val="en-US"/>
        </w:rPr>
        <w:t xml:space="preserve">91 290 </w:t>
      </w:r>
      <w:r>
        <w:rPr/>
        <w:t>ha boreal</w:t>
      </w:r>
    </w:p>
    <w:p>
      <w:pPr>
        <w:pStyle w:val="ListParagraph"/>
        <w:numPr>
          <w:ilvl w:val="0"/>
          <w:numId w:val="3"/>
        </w:numPr>
        <w:rPr/>
      </w:pPr>
      <w:r>
        <w:rPr/>
        <w:t xml:space="preserve">Forest by management type (ha): </w:t>
        <w:tab/>
        <w:tab/>
        <w:tab/>
      </w:r>
      <w:r>
        <w:rPr>
          <w:lang w:val="en-US"/>
        </w:rPr>
        <w:t xml:space="preserve">91 290 </w:t>
      </w:r>
      <w:r>
        <w:rPr/>
        <w:t>ha managed natural</w:t>
      </w:r>
    </w:p>
    <w:p>
      <w:pPr>
        <w:pStyle w:val="ListParagraph"/>
        <w:numPr>
          <w:ilvl w:val="0"/>
          <w:numId w:val="3"/>
        </w:numPr>
        <w:rPr/>
      </w:pPr>
      <w:r>
        <w:rPr/>
        <w:t xml:space="preserve">Certified forest by scheme (ha): </w:t>
        <w:tab/>
        <w:tab/>
        <w:tab/>
      </w:r>
      <w:r>
        <w:rPr>
          <w:lang w:val="en-US"/>
        </w:rPr>
        <w:t xml:space="preserve">91 290 </w:t>
      </w:r>
      <w:r>
        <w:rPr/>
        <w:t>ha FSC-certified forest</w:t>
      </w:r>
    </w:p>
    <w:p>
      <w:pPr>
        <w:pStyle w:val="5"/>
        <w:rPr>
          <w:sz w:val="28"/>
          <w:szCs w:val="28"/>
        </w:rPr>
      </w:pPr>
      <w:r>
        <w:rPr>
          <w:sz w:val="28"/>
          <w:szCs w:val="28"/>
        </w:rPr>
        <w:t>Feedstock</w:t>
      </w:r>
    </w:p>
    <w:p>
      <w:pPr>
        <w:pStyle w:val="ListParagraph"/>
        <w:numPr>
          <w:ilvl w:val="0"/>
          <w:numId w:val="3"/>
        </w:numPr>
        <w:rPr/>
      </w:pPr>
      <w:r>
        <w:rPr/>
        <w:t xml:space="preserve">Total volume of Feedstock: </w:t>
        <w:tab/>
        <w:tab/>
        <w:tab/>
        <w:tab/>
        <w:t>14</w:t>
      </w:r>
      <w:r>
        <w:rPr/>
        <w:t>729,4</w:t>
      </w:r>
      <w:r>
        <w:rPr>
          <w:lang w:val="ru-RU"/>
        </w:rPr>
        <w:t xml:space="preserve"> </w:t>
      </w:r>
      <w:r>
        <w:rPr/>
        <w:t>tonne.</w:t>
      </w:r>
    </w:p>
    <w:p>
      <w:pPr>
        <w:pStyle w:val="ListParagraph"/>
        <w:numPr>
          <w:ilvl w:val="0"/>
          <w:numId w:val="3"/>
        </w:numPr>
        <w:rPr/>
      </w:pPr>
      <w:r>
        <w:rPr/>
        <w:t xml:space="preserve">Volume of primary feedstock: </w:t>
        <w:tab/>
        <w:tab/>
        <w:tab/>
        <w:t xml:space="preserve">0 tonnes </w:t>
      </w:r>
    </w:p>
    <w:p>
      <w:pPr>
        <w:pStyle w:val="ListParagraph"/>
        <w:numPr>
          <w:ilvl w:val="0"/>
          <w:numId w:val="3"/>
        </w:numPr>
        <w:rPr/>
      </w:pPr>
      <w:r>
        <w:rPr/>
        <w:t>List percentage of primary feedstock (g), by the following categories. Subdivide by SBP-approved Forest Management Schemes:</w:t>
      </w:r>
    </w:p>
    <w:p>
      <w:pPr>
        <w:pStyle w:val="ListParagraph"/>
        <w:numPr>
          <w:ilvl w:val="1"/>
          <w:numId w:val="3"/>
        </w:numPr>
        <w:rPr/>
      </w:pPr>
      <w:r>
        <w:rPr/>
        <w:t>Certified to an SBP-approved Forest Management Scheme</w:t>
        <w:tab/>
        <w:tab/>
        <w:t>- 0 tonne.</w:t>
      </w:r>
    </w:p>
    <w:p>
      <w:pPr>
        <w:pStyle w:val="ListParagraph"/>
        <w:numPr>
          <w:ilvl w:val="1"/>
          <w:numId w:val="3"/>
        </w:numPr>
        <w:rPr/>
      </w:pPr>
      <w:r>
        <w:rPr/>
        <w:t>Not certified to an SBP-approved Forest Management Scheme</w:t>
        <w:tab/>
        <w:t>- 0 tonne.</w:t>
      </w:r>
    </w:p>
    <w:p>
      <w:pPr>
        <w:pStyle w:val="ListParagraph"/>
        <w:numPr>
          <w:ilvl w:val="0"/>
          <w:numId w:val="3"/>
        </w:numPr>
        <w:rPr/>
      </w:pPr>
      <w:r>
        <w:rPr/>
        <w:t>List all species in primary feedstock, including scientific name</w:t>
        <w:tab/>
        <w:tab/>
        <w:t>- not applicable.</w:t>
      </w:r>
    </w:p>
    <w:p>
      <w:pPr>
        <w:pStyle w:val="ListParagraph"/>
        <w:numPr>
          <w:ilvl w:val="0"/>
          <w:numId w:val="3"/>
        </w:numPr>
        <w:rPr/>
      </w:pPr>
      <w:r>
        <w:rPr/>
        <w:t xml:space="preserve">Volume of primary feedstock from primary forest – </w:t>
      </w:r>
      <w:r>
        <w:rPr>
          <w:lang w:val="en-US"/>
        </w:rPr>
        <w:t>not applicable</w:t>
      </w:r>
      <w:r>
        <w:rPr/>
        <w:t>.</w:t>
      </w:r>
    </w:p>
    <w:p>
      <w:pPr>
        <w:pStyle w:val="ListParagraph"/>
        <w:numPr>
          <w:ilvl w:val="0"/>
          <w:numId w:val="3"/>
        </w:numPr>
        <w:rPr/>
      </w:pPr>
      <w:r>
        <w:rPr/>
        <w:t>List percentage of primary feedstock from primary forest (j), by the following categories. Subdivide by SBP-approved Forest Management Schemes:</w:t>
      </w:r>
    </w:p>
    <w:p>
      <w:pPr>
        <w:pStyle w:val="ListParagraph"/>
        <w:numPr>
          <w:ilvl w:val="1"/>
          <w:numId w:val="3"/>
        </w:numPr>
        <w:rPr/>
      </w:pPr>
      <w:r>
        <w:rPr/>
        <w:t>Primary feedstock from primary forest certified to an SBP-approved Forest Management Scheme – 0 tonne.</w:t>
      </w:r>
    </w:p>
    <w:p>
      <w:pPr>
        <w:pStyle w:val="ListParagraph"/>
        <w:numPr>
          <w:ilvl w:val="1"/>
          <w:numId w:val="3"/>
        </w:numPr>
        <w:rPr/>
      </w:pPr>
      <w:r>
        <w:rPr/>
        <w:t>Primary feedstock from primary forest not certified to an SBP-approved Forest Management Scheme – 0 tonne.</w:t>
      </w:r>
    </w:p>
    <w:p>
      <w:pPr>
        <w:pStyle w:val="ListParagraph"/>
        <w:numPr>
          <w:ilvl w:val="0"/>
          <w:numId w:val="3"/>
        </w:numPr>
        <w:rPr/>
      </w:pPr>
      <w:r>
        <w:rPr/>
        <w:t>Volume of secondary feedstock: specify origin and type – 14</w:t>
      </w:r>
      <w:r>
        <w:rPr>
          <w:lang w:val="en-US"/>
        </w:rPr>
        <w:t xml:space="preserve">729,4 </w:t>
      </w:r>
      <w:r>
        <w:rPr/>
        <w:t xml:space="preserve">tonne (100% sawmill residues: sawdust – </w:t>
      </w:r>
      <w:r>
        <w:rPr>
          <w:lang w:val="en-US"/>
        </w:rPr>
        <w:t>26,7</w:t>
      </w:r>
      <w:r>
        <w:rPr/>
        <w:t xml:space="preserve">% and chips from crushing of slab, lump and board lumbering wastes – </w:t>
      </w:r>
      <w:r>
        <w:rPr>
          <w:lang w:val="en-US"/>
        </w:rPr>
        <w:t>73,3</w:t>
      </w:r>
      <w:r>
        <w:rPr/>
        <w:t xml:space="preserve">%). </w:t>
      </w:r>
    </w:p>
    <w:p>
      <w:pPr>
        <w:pStyle w:val="ListParagraph"/>
        <w:numPr>
          <w:ilvl w:val="0"/>
          <w:numId w:val="3"/>
        </w:numPr>
        <w:rPr/>
      </w:pPr>
      <w:r>
        <w:rPr/>
        <w:t>Volume of tertiary feedstock: 0 tonne.</w:t>
      </w:r>
    </w:p>
    <w:p>
      <w:pPr>
        <w:pStyle w:val="1"/>
        <w:numPr>
          <w:ilvl w:val="0"/>
          <w:numId w:val="2"/>
        </w:numPr>
        <w:ind w:left="851" w:hanging="851"/>
        <w:rPr/>
      </w:pPr>
      <w:bookmarkStart w:id="14" w:name="_Toc454366459"/>
      <w:bookmarkStart w:id="15" w:name="_Toc412646201"/>
      <w:bookmarkStart w:id="16" w:name="_Toc397674999"/>
      <w:bookmarkEnd w:id="14"/>
      <w:bookmarkEnd w:id="15"/>
      <w:bookmarkEnd w:id="16"/>
      <w:r>
        <w:rPr/>
        <w:t>Requirement for a Supply Base Evaluation</w:t>
      </w:r>
    </w:p>
    <w:tbl>
      <w:tblPr>
        <w:tblStyle w:val="ae"/>
        <w:tblW w:w="3733" w:type="dxa"/>
        <w:jc w:val="left"/>
        <w:tblInd w:w="170" w:type="dxa"/>
        <w:tblCellMar>
          <w:top w:w="0" w:type="dxa"/>
          <w:left w:w="88" w:type="dxa"/>
          <w:bottom w:w="0" w:type="dxa"/>
          <w:right w:w="108" w:type="dxa"/>
        </w:tblCellMar>
        <w:tblLook w:firstRow="1" w:noVBand="1" w:lastRow="0" w:firstColumn="1" w:lastColumn="0" w:noHBand="0" w:val="04a0"/>
      </w:tblPr>
      <w:tblGrid>
        <w:gridCol w:w="1861"/>
        <w:gridCol w:w="1871"/>
      </w:tblGrid>
      <w:tr>
        <w:trPr>
          <w:trHeight w:val="620" w:hRule="atLeast"/>
        </w:trPr>
        <w:tc>
          <w:tcPr>
            <w:tcW w:w="1861" w:type="dxa"/>
            <w:tcBorders/>
            <w:shd w:color="auto" w:fill="A3CAB8" w:themeFill="accent3" w:themeFillTint="99" w:val="clear"/>
            <w:tcMar>
              <w:left w:w="88" w:type="dxa"/>
            </w:tcMar>
            <w:vAlign w:val="center"/>
          </w:tcPr>
          <w:p>
            <w:pPr>
              <w:pStyle w:val="Normal"/>
              <w:spacing w:lineRule="auto" w:line="240" w:before="0" w:after="0"/>
              <w:rPr>
                <w:b/>
                <w:b/>
                <w:lang w:val="en-US"/>
              </w:rPr>
            </w:pPr>
            <w:r>
              <w:rPr>
                <w:b/>
                <w:lang w:val="en-US"/>
              </w:rPr>
              <w:t>SBE completed</w:t>
            </w:r>
          </w:p>
        </w:tc>
        <w:tc>
          <w:tcPr>
            <w:tcW w:w="1871" w:type="dxa"/>
            <w:tcBorders/>
            <w:shd w:color="auto" w:fill="A3CAB8" w:themeFill="accent3" w:themeFillTint="99" w:val="clear"/>
            <w:tcMar>
              <w:left w:w="88" w:type="dxa"/>
            </w:tcMar>
            <w:vAlign w:val="center"/>
          </w:tcPr>
          <w:p>
            <w:pPr>
              <w:pStyle w:val="Normal"/>
              <w:spacing w:lineRule="auto" w:line="240" w:before="0" w:after="0"/>
              <w:rPr>
                <w:b/>
                <w:b/>
                <w:lang w:val="en-US"/>
              </w:rPr>
            </w:pPr>
            <w:r>
              <w:rPr>
                <w:b/>
                <w:lang w:val="en-US"/>
              </w:rPr>
              <w:t>SBE not completed</w:t>
            </w:r>
          </w:p>
        </w:tc>
      </w:tr>
      <w:tr>
        <w:trPr>
          <w:trHeight w:val="710" w:hRule="atLeast"/>
        </w:trPr>
        <w:tc>
          <w:tcPr>
            <w:tcW w:w="1861" w:type="dxa"/>
            <w:tcBorders/>
            <w:shd w:fill="auto" w:val="clear"/>
            <w:tcMar>
              <w:left w:w="88" w:type="dxa"/>
            </w:tcMar>
            <w:vAlign w:val="center"/>
          </w:tcPr>
          <w:p>
            <w:pPr>
              <w:pStyle w:val="Normal"/>
              <w:spacing w:lineRule="auto" w:line="240" w:before="0" w:after="0"/>
              <w:rPr>
                <w:b/>
                <w:b/>
                <w:lang w:val="en-US"/>
              </w:rPr>
            </w:pPr>
            <w:r>
              <w:rPr>
                <w:rFonts w:cs="Segoe UI Symbol" w:ascii="Segoe UI Symbol" w:hAnsi="Segoe UI Symbol"/>
                <w:b/>
                <w:lang w:val="en-US"/>
              </w:rPr>
              <w:t>☐</w:t>
            </w:r>
          </w:p>
        </w:tc>
        <w:tc>
          <w:tcPr>
            <w:tcW w:w="1871" w:type="dxa"/>
            <w:tcBorders/>
            <w:shd w:fill="auto" w:val="clear"/>
            <w:tcMar>
              <w:left w:w="88" w:type="dxa"/>
            </w:tcMar>
            <w:vAlign w:val="center"/>
          </w:tcPr>
          <w:p>
            <w:pPr>
              <w:pStyle w:val="Normal"/>
              <w:spacing w:lineRule="auto" w:line="240" w:before="0" w:after="0"/>
              <w:rPr>
                <w:b/>
                <w:b/>
                <w:lang w:val="en-US"/>
              </w:rPr>
            </w:pPr>
            <w:r>
              <w:rPr>
                <w:rFonts w:cs="Menlo Regular" w:ascii="Menlo Regular" w:hAnsi="Menlo Regular"/>
                <w:b/>
                <w:lang w:val="en-US"/>
              </w:rPr>
              <w:t>X</w:t>
            </w:r>
          </w:p>
        </w:tc>
      </w:tr>
    </w:tbl>
    <w:p>
      <w:pPr>
        <w:pStyle w:val="Normal"/>
        <w:rPr/>
      </w:pPr>
      <w:r>
        <w:rPr/>
      </w:r>
    </w:p>
    <w:p>
      <w:pPr>
        <w:pStyle w:val="Normal"/>
        <w:rPr>
          <w:i/>
          <w:i/>
        </w:rPr>
      </w:pPr>
      <w:r>
        <w:rPr>
          <w:i/>
        </w:rPr>
        <w:t>The assessment of the supply base is not required since the only feedstock supplier has already been assessed for compliance to FSC forest management and supply chain standards and is ready to supply only FSC feedstock for the pellet production of TechnoArs LLC.</w:t>
      </w:r>
    </w:p>
    <w:p>
      <w:pPr>
        <w:pStyle w:val="1"/>
        <w:numPr>
          <w:ilvl w:val="0"/>
          <w:numId w:val="2"/>
        </w:numPr>
        <w:ind w:left="851" w:hanging="851"/>
        <w:rPr/>
      </w:pPr>
      <w:bookmarkStart w:id="17" w:name="_Toc454366460"/>
      <w:bookmarkEnd w:id="17"/>
      <w:r>
        <w:rPr/>
        <w:t>Supply Base Evaluation</w:t>
      </w:r>
    </w:p>
    <w:p>
      <w:pPr>
        <w:pStyle w:val="2"/>
        <w:numPr>
          <w:ilvl w:val="1"/>
          <w:numId w:val="2"/>
        </w:numPr>
        <w:ind w:left="851" w:hanging="851"/>
        <w:rPr/>
      </w:pPr>
      <w:bookmarkStart w:id="18" w:name="_Toc454366461"/>
      <w:bookmarkEnd w:id="18"/>
      <w:r>
        <w:rPr/>
        <w:t>Scope</w:t>
      </w:r>
    </w:p>
    <w:p>
      <w:pPr>
        <w:pStyle w:val="Normal"/>
        <w:rPr>
          <w:i/>
          <w:i/>
        </w:rPr>
      </w:pPr>
      <w:r>
        <w:rPr>
          <w:i/>
        </w:rPr>
        <w:t>Not applicable.</w:t>
      </w:r>
    </w:p>
    <w:p>
      <w:pPr>
        <w:pStyle w:val="2"/>
        <w:numPr>
          <w:ilvl w:val="1"/>
          <w:numId w:val="2"/>
        </w:numPr>
        <w:ind w:left="851" w:hanging="851"/>
        <w:rPr/>
      </w:pPr>
      <w:bookmarkStart w:id="19" w:name="_Toc454366462"/>
      <w:bookmarkStart w:id="20" w:name="_Toc412646204"/>
      <w:bookmarkEnd w:id="19"/>
      <w:bookmarkEnd w:id="20"/>
      <w:r>
        <w:rPr/>
        <w:t>Justification</w:t>
      </w:r>
    </w:p>
    <w:p>
      <w:pPr>
        <w:pStyle w:val="Normal"/>
        <w:rPr>
          <w:i/>
          <w:i/>
        </w:rPr>
      </w:pPr>
      <w:r>
        <w:rPr>
          <w:i/>
        </w:rPr>
        <w:t>Not applicable.</w:t>
      </w:r>
    </w:p>
    <w:p>
      <w:pPr>
        <w:pStyle w:val="2"/>
        <w:numPr>
          <w:ilvl w:val="1"/>
          <w:numId w:val="2"/>
        </w:numPr>
        <w:ind w:left="851" w:hanging="851"/>
        <w:rPr/>
      </w:pPr>
      <w:bookmarkStart w:id="21" w:name="_Toc454366463"/>
      <w:bookmarkStart w:id="22" w:name="_Toc412646205"/>
      <w:bookmarkEnd w:id="21"/>
      <w:bookmarkEnd w:id="22"/>
      <w:r>
        <w:rPr/>
        <w:t>Results of Risk Assessment</w:t>
      </w:r>
    </w:p>
    <w:p>
      <w:pPr>
        <w:pStyle w:val="Normal"/>
        <w:rPr>
          <w:i/>
          <w:i/>
        </w:rPr>
      </w:pPr>
      <w:r>
        <w:rPr>
          <w:i/>
        </w:rPr>
        <w:t>Not applicable.</w:t>
      </w:r>
    </w:p>
    <w:p>
      <w:pPr>
        <w:pStyle w:val="2"/>
        <w:numPr>
          <w:ilvl w:val="1"/>
          <w:numId w:val="2"/>
        </w:numPr>
        <w:ind w:left="851" w:hanging="851"/>
        <w:rPr/>
      </w:pPr>
      <w:bookmarkStart w:id="23" w:name="_Toc454366464"/>
      <w:bookmarkStart w:id="24" w:name="_Toc412646206"/>
      <w:bookmarkEnd w:id="23"/>
      <w:bookmarkEnd w:id="24"/>
      <w:r>
        <w:rPr/>
        <w:t>Results of Supplier Verification Programme</w:t>
      </w:r>
    </w:p>
    <w:p>
      <w:pPr>
        <w:pStyle w:val="Normal"/>
        <w:rPr>
          <w:i/>
          <w:i/>
        </w:rPr>
      </w:pPr>
      <w:r>
        <w:rPr>
          <w:i/>
        </w:rPr>
        <w:t>Not applicable.</w:t>
      </w:r>
    </w:p>
    <w:p>
      <w:pPr>
        <w:pStyle w:val="2"/>
        <w:numPr>
          <w:ilvl w:val="1"/>
          <w:numId w:val="2"/>
        </w:numPr>
        <w:ind w:left="851" w:hanging="851"/>
        <w:rPr/>
      </w:pPr>
      <w:bookmarkStart w:id="25" w:name="_Toc454366465"/>
      <w:bookmarkStart w:id="26" w:name="_Toc412646207"/>
      <w:bookmarkEnd w:id="25"/>
      <w:bookmarkEnd w:id="26"/>
      <w:r>
        <w:rPr/>
        <w:t>Conclusion</w:t>
      </w:r>
    </w:p>
    <w:p>
      <w:pPr>
        <w:pStyle w:val="Normal"/>
        <w:rPr>
          <w:i/>
          <w:i/>
        </w:rPr>
      </w:pPr>
      <w:r>
        <w:rPr>
          <w:i/>
        </w:rPr>
        <w:t>Not applicable.</w:t>
      </w:r>
    </w:p>
    <w:p>
      <w:pPr>
        <w:pStyle w:val="Normal"/>
        <w:spacing w:lineRule="auto" w:line="276"/>
        <w:rPr>
          <w:rFonts w:ascii="Georgia" w:hAnsi="Georgia" w:eastAsia="" w:cs="" w:asciiTheme="majorHAnsi" w:cstheme="majorBidi" w:eastAsiaTheme="majorEastAsia" w:hAnsiTheme="majorHAnsi"/>
          <w:bCs/>
          <w:iCs/>
          <w:color w:val="8AB059"/>
          <w:sz w:val="28"/>
          <w:szCs w:val="28"/>
        </w:rPr>
      </w:pPr>
      <w:r>
        <w:rPr>
          <w:rFonts w:eastAsia="" w:cs="" w:cstheme="majorBidi" w:eastAsiaTheme="majorEastAsia" w:ascii="Georgia" w:hAnsi="Georgia"/>
          <w:bCs/>
          <w:iCs/>
          <w:color w:val="8AB059"/>
          <w:sz w:val="28"/>
          <w:szCs w:val="28"/>
        </w:rPr>
      </w:r>
      <w:r>
        <w:br w:type="page"/>
      </w:r>
    </w:p>
    <w:p>
      <w:pPr>
        <w:pStyle w:val="1"/>
        <w:numPr>
          <w:ilvl w:val="0"/>
          <w:numId w:val="2"/>
        </w:numPr>
        <w:ind w:left="851" w:hanging="851"/>
        <w:rPr/>
      </w:pPr>
      <w:bookmarkStart w:id="27" w:name="_Toc454366466"/>
      <w:bookmarkStart w:id="28" w:name="_Toc412646208"/>
      <w:bookmarkEnd w:id="27"/>
      <w:bookmarkEnd w:id="28"/>
      <w:r>
        <w:rPr/>
        <w:t>Supply Base Evaluation Process</w:t>
      </w:r>
    </w:p>
    <w:p>
      <w:pPr>
        <w:pStyle w:val="Normal"/>
        <w:rPr>
          <w:i/>
          <w:i/>
        </w:rPr>
      </w:pPr>
      <w:r>
        <w:rPr>
          <w:i/>
        </w:rPr>
        <w:t>Not applicable.</w:t>
      </w:r>
    </w:p>
    <w:p>
      <w:pPr>
        <w:pStyle w:val="1"/>
        <w:numPr>
          <w:ilvl w:val="0"/>
          <w:numId w:val="2"/>
        </w:numPr>
        <w:ind w:left="851" w:hanging="851"/>
        <w:rPr/>
      </w:pPr>
      <w:r>
        <w:rPr/>
        <w:t xml:space="preserve"> </w:t>
      </w:r>
      <w:bookmarkStart w:id="29" w:name="_Toc454366467"/>
      <w:bookmarkStart w:id="30" w:name="_Toc412646209"/>
      <w:r>
        <w:rPr/>
        <w:t>Stakeholder Consultation</w:t>
      </w:r>
      <w:bookmarkEnd w:id="29"/>
      <w:bookmarkEnd w:id="30"/>
      <w:r>
        <w:rPr/>
        <w:t xml:space="preserve"> </w:t>
      </w:r>
    </w:p>
    <w:p>
      <w:pPr>
        <w:pStyle w:val="Normal"/>
        <w:rPr>
          <w:i/>
          <w:i/>
        </w:rPr>
      </w:pPr>
      <w:r>
        <w:rPr>
          <w:i/>
        </w:rPr>
        <w:t>Not applicable.</w:t>
      </w:r>
    </w:p>
    <w:p>
      <w:pPr>
        <w:pStyle w:val="2"/>
        <w:numPr>
          <w:ilvl w:val="1"/>
          <w:numId w:val="2"/>
        </w:numPr>
        <w:ind w:left="851" w:hanging="851"/>
        <w:rPr/>
      </w:pPr>
      <w:bookmarkStart w:id="31" w:name="_Toc454366468"/>
      <w:bookmarkStart w:id="32" w:name="_Toc412646210"/>
      <w:bookmarkEnd w:id="31"/>
      <w:bookmarkEnd w:id="32"/>
      <w:r>
        <w:rPr/>
        <w:t>Response to stakeholder comments</w:t>
      </w:r>
    </w:p>
    <w:p>
      <w:pPr>
        <w:pStyle w:val="Normal"/>
        <w:rPr>
          <w:i/>
          <w:i/>
        </w:rPr>
      </w:pPr>
      <w:r>
        <w:rPr>
          <w:i/>
        </w:rPr>
        <w:t>Not applicable.</w:t>
      </w:r>
    </w:p>
    <w:p>
      <w:pPr>
        <w:pStyle w:val="1"/>
        <w:numPr>
          <w:ilvl w:val="0"/>
          <w:numId w:val="2"/>
        </w:numPr>
        <w:ind w:left="851" w:hanging="851"/>
        <w:rPr/>
      </w:pPr>
      <w:bookmarkStart w:id="33" w:name="_Toc454366469"/>
      <w:bookmarkStart w:id="34" w:name="_Toc412646211"/>
      <w:bookmarkEnd w:id="33"/>
      <w:bookmarkEnd w:id="34"/>
      <w:r>
        <w:rPr/>
        <w:t>Overview of Initial Assessment of Risk</w:t>
      </w:r>
    </w:p>
    <w:p>
      <w:pPr>
        <w:pStyle w:val="Normal"/>
        <w:rPr>
          <w:i/>
          <w:i/>
        </w:rPr>
      </w:pPr>
      <w:r>
        <w:rPr>
          <w:i/>
        </w:rPr>
        <w:t>Not applicable.</w:t>
      </w:r>
    </w:p>
    <w:p>
      <w:pPr>
        <w:pStyle w:val="1"/>
        <w:numPr>
          <w:ilvl w:val="0"/>
          <w:numId w:val="2"/>
        </w:numPr>
        <w:ind w:left="851" w:hanging="851"/>
        <w:rPr/>
      </w:pPr>
      <w:bookmarkStart w:id="35" w:name="_Toc454366470"/>
      <w:bookmarkEnd w:id="35"/>
      <w:r>
        <w:rPr/>
        <w:t>Supplier Verification Programme</w:t>
      </w:r>
    </w:p>
    <w:p>
      <w:pPr>
        <w:pStyle w:val="2"/>
        <w:numPr>
          <w:ilvl w:val="1"/>
          <w:numId w:val="2"/>
        </w:numPr>
        <w:ind w:left="851" w:hanging="851"/>
        <w:rPr/>
      </w:pPr>
      <w:bookmarkStart w:id="36" w:name="_Toc454366471"/>
      <w:bookmarkEnd w:id="36"/>
      <w:r>
        <w:rPr/>
        <w:t>Description of the Supplier Verification Programme</w:t>
      </w:r>
    </w:p>
    <w:p>
      <w:pPr>
        <w:pStyle w:val="Normal"/>
        <w:rPr>
          <w:i/>
          <w:i/>
        </w:rPr>
      </w:pPr>
      <w:r>
        <w:rPr>
          <w:i/>
        </w:rPr>
        <w:t>Not applicable.</w:t>
      </w:r>
    </w:p>
    <w:p>
      <w:pPr>
        <w:pStyle w:val="2"/>
        <w:numPr>
          <w:ilvl w:val="1"/>
          <w:numId w:val="2"/>
        </w:numPr>
        <w:ind w:left="851" w:hanging="851"/>
        <w:rPr/>
      </w:pPr>
      <w:bookmarkStart w:id="37" w:name="_Toc454366472"/>
      <w:bookmarkStart w:id="38" w:name="_Toc412646214"/>
      <w:bookmarkEnd w:id="37"/>
      <w:bookmarkEnd w:id="38"/>
      <w:r>
        <w:rPr/>
        <w:t>Site visits</w:t>
      </w:r>
    </w:p>
    <w:p>
      <w:pPr>
        <w:pStyle w:val="Normal"/>
        <w:rPr>
          <w:i/>
          <w:i/>
        </w:rPr>
      </w:pPr>
      <w:r>
        <w:rPr>
          <w:i/>
        </w:rPr>
        <w:t>Not applicable.</w:t>
      </w:r>
    </w:p>
    <w:p>
      <w:pPr>
        <w:pStyle w:val="2"/>
        <w:numPr>
          <w:ilvl w:val="1"/>
          <w:numId w:val="2"/>
        </w:numPr>
        <w:ind w:left="851" w:hanging="851"/>
        <w:rPr/>
      </w:pPr>
      <w:bookmarkStart w:id="39" w:name="_Toc454366473"/>
      <w:bookmarkStart w:id="40" w:name="_Toc412646215"/>
      <w:bookmarkEnd w:id="39"/>
      <w:bookmarkEnd w:id="40"/>
      <w:r>
        <w:rPr/>
        <w:t>Conclusions from the Supplier Verification Programme</w:t>
      </w:r>
    </w:p>
    <w:p>
      <w:pPr>
        <w:pStyle w:val="Normal"/>
        <w:rPr>
          <w:i/>
          <w:i/>
        </w:rPr>
      </w:pPr>
      <w:r>
        <w:rPr>
          <w:i/>
        </w:rPr>
        <w:t>Not applicable.</w:t>
      </w:r>
    </w:p>
    <w:p>
      <w:pPr>
        <w:pStyle w:val="1"/>
        <w:numPr>
          <w:ilvl w:val="0"/>
          <w:numId w:val="2"/>
        </w:numPr>
        <w:ind w:left="851" w:hanging="851"/>
        <w:rPr/>
      </w:pPr>
      <w:bookmarkStart w:id="41" w:name="_Toc454366474"/>
      <w:bookmarkStart w:id="42" w:name="_Toc412646216"/>
      <w:bookmarkEnd w:id="41"/>
      <w:bookmarkEnd w:id="42"/>
      <w:r>
        <w:rPr/>
        <w:t>Mitigation Measures</w:t>
      </w:r>
    </w:p>
    <w:p>
      <w:pPr>
        <w:pStyle w:val="2"/>
        <w:numPr>
          <w:ilvl w:val="1"/>
          <w:numId w:val="2"/>
        </w:numPr>
        <w:ind w:left="851" w:hanging="851"/>
        <w:rPr/>
      </w:pPr>
      <w:bookmarkStart w:id="43" w:name="_Toc454366475"/>
      <w:bookmarkStart w:id="44" w:name="_Toc412646217"/>
      <w:bookmarkEnd w:id="43"/>
      <w:bookmarkEnd w:id="44"/>
      <w:r>
        <w:rPr/>
        <w:t>Mitigation measures</w:t>
      </w:r>
    </w:p>
    <w:p>
      <w:pPr>
        <w:pStyle w:val="Normal"/>
        <w:rPr>
          <w:i/>
          <w:i/>
        </w:rPr>
      </w:pPr>
      <w:r>
        <w:rPr>
          <w:i/>
        </w:rPr>
        <w:t>Not applicable.</w:t>
      </w:r>
    </w:p>
    <w:p>
      <w:pPr>
        <w:pStyle w:val="2"/>
        <w:numPr>
          <w:ilvl w:val="1"/>
          <w:numId w:val="2"/>
        </w:numPr>
        <w:ind w:left="851" w:hanging="851"/>
        <w:rPr/>
      </w:pPr>
      <w:bookmarkStart w:id="45" w:name="_Toc454366476"/>
      <w:bookmarkStart w:id="46" w:name="_Toc412646218"/>
      <w:bookmarkEnd w:id="45"/>
      <w:bookmarkEnd w:id="46"/>
      <w:r>
        <w:rPr/>
        <w:t>Monitoring and outcomes</w:t>
      </w:r>
    </w:p>
    <w:p>
      <w:pPr>
        <w:pStyle w:val="Normal"/>
        <w:rPr>
          <w:i/>
          <w:i/>
        </w:rPr>
      </w:pPr>
      <w:r>
        <w:rPr>
          <w:i/>
        </w:rPr>
        <w:t>Not applicable.</w:t>
      </w:r>
    </w:p>
    <w:p>
      <w:pPr>
        <w:pStyle w:val="1"/>
        <w:numPr>
          <w:ilvl w:val="0"/>
          <w:numId w:val="2"/>
        </w:numPr>
        <w:ind w:left="851" w:hanging="851"/>
        <w:rPr/>
      </w:pPr>
      <w:bookmarkStart w:id="47" w:name="_Toc454366477"/>
      <w:bookmarkStart w:id="48" w:name="_Toc412646219"/>
      <w:bookmarkEnd w:id="47"/>
      <w:bookmarkEnd w:id="48"/>
      <w:r>
        <w:rPr/>
        <w:t>Detailed Findings for Indicators</w:t>
      </w:r>
    </w:p>
    <w:p>
      <w:pPr>
        <w:pStyle w:val="Normal"/>
        <w:rPr>
          <w:i/>
          <w:i/>
        </w:rPr>
      </w:pPr>
      <w:r>
        <w:rPr>
          <w:i/>
        </w:rPr>
        <w:t>Not applicable.</w:t>
      </w:r>
    </w:p>
    <w:p>
      <w:pPr>
        <w:pStyle w:val="Normal"/>
        <w:spacing w:lineRule="auto" w:line="276"/>
        <w:rPr/>
      </w:pPr>
      <w:r>
        <w:rPr/>
      </w:r>
      <w:r>
        <w:br w:type="page"/>
      </w:r>
    </w:p>
    <w:p>
      <w:pPr>
        <w:pStyle w:val="1"/>
        <w:numPr>
          <w:ilvl w:val="0"/>
          <w:numId w:val="2"/>
        </w:numPr>
        <w:ind w:left="851" w:hanging="851"/>
        <w:rPr/>
      </w:pPr>
      <w:bookmarkStart w:id="49" w:name="_Toc454366478"/>
      <w:bookmarkStart w:id="50" w:name="_Toc412646220"/>
      <w:bookmarkEnd w:id="49"/>
      <w:bookmarkEnd w:id="50"/>
      <w:r>
        <w:rPr/>
        <w:t>Review of Report</w:t>
      </w:r>
    </w:p>
    <w:p>
      <w:pPr>
        <w:pStyle w:val="2"/>
        <w:numPr>
          <w:ilvl w:val="1"/>
          <w:numId w:val="2"/>
        </w:numPr>
        <w:ind w:left="851" w:hanging="851"/>
        <w:rPr/>
      </w:pPr>
      <w:bookmarkStart w:id="51" w:name="_Toc454366479"/>
      <w:bookmarkStart w:id="52" w:name="_Toc412646221"/>
      <w:bookmarkEnd w:id="51"/>
      <w:bookmarkEnd w:id="52"/>
      <w:r>
        <w:rPr/>
        <w:t>Peer review</w:t>
      </w:r>
    </w:p>
    <w:p>
      <w:pPr>
        <w:pStyle w:val="2"/>
        <w:numPr>
          <w:ilvl w:val="0"/>
          <w:numId w:val="0"/>
        </w:numPr>
        <w:ind w:left="851" w:hanging="851"/>
        <w:rPr>
          <w:rFonts w:ascii="Arial" w:hAnsi="Arial" w:eastAsia="Arial" w:cs="" w:asciiTheme="minorHAnsi" w:cstheme="minorBidi" w:eastAsiaTheme="minorHAnsi" w:hAnsiTheme="minorHAnsi"/>
          <w:i/>
          <w:i/>
          <w:color w:val="00000A"/>
          <w:sz w:val="20"/>
          <w:szCs w:val="20"/>
          <w:lang w:val="en-US"/>
        </w:rPr>
      </w:pPr>
      <w:r>
        <w:rPr>
          <w:rFonts w:eastAsia="Arial" w:cs="" w:ascii="Arial" w:hAnsi="Arial" w:asciiTheme="minorHAnsi" w:cstheme="minorBidi" w:eastAsiaTheme="minorHAnsi" w:hAnsiTheme="minorHAnsi"/>
          <w:i/>
          <w:color w:val="00000A"/>
          <w:sz w:val="20"/>
          <w:szCs w:val="20"/>
          <w:lang w:val="en-US"/>
        </w:rPr>
        <w:t>Peer review was not performed in year 2019.</w:t>
      </w:r>
    </w:p>
    <w:p>
      <w:pPr>
        <w:pStyle w:val="2"/>
        <w:numPr>
          <w:ilvl w:val="1"/>
          <w:numId w:val="2"/>
        </w:numPr>
        <w:ind w:left="851" w:hanging="851"/>
        <w:rPr/>
      </w:pPr>
      <w:bookmarkStart w:id="53" w:name="_Toc454366480"/>
      <w:bookmarkStart w:id="54" w:name="_Toc412646222"/>
      <w:r>
        <w:rPr/>
        <w:t>Public or additional reviews</w:t>
      </w:r>
      <w:bookmarkEnd w:id="53"/>
      <w:bookmarkEnd w:id="54"/>
      <w:r>
        <w:rPr/>
        <w:t xml:space="preserve"> </w:t>
      </w:r>
    </w:p>
    <w:p>
      <w:pPr>
        <w:pStyle w:val="Normal"/>
        <w:rPr/>
      </w:pPr>
      <w:r>
        <w:rPr>
          <w:i/>
        </w:rPr>
        <w:t xml:space="preserve">The report on the supply base is posted on the website of the regional administration of Vesyegonsk, due to the absence of its own web site at TechnoArs LLC. Any interested parties can send their comments by e-mail </w:t>
      </w:r>
      <w:hyperlink r:id="rId5">
        <w:r>
          <w:rPr>
            <w:webHidden/>
            <w:rStyle w:val="Style13"/>
            <w:i/>
            <w:vanish/>
          </w:rPr>
          <w:t>ooolaguna@inbox.ru</w:t>
        </w:r>
      </w:hyperlink>
      <w:r>
        <w:rPr>
          <w:i/>
        </w:rPr>
        <w:t xml:space="preserve"> to Nina Petrovna Fumina, they will be accepted for consideration.</w:t>
      </w:r>
    </w:p>
    <w:p>
      <w:pPr>
        <w:pStyle w:val="1"/>
        <w:numPr>
          <w:ilvl w:val="0"/>
          <w:numId w:val="2"/>
        </w:numPr>
        <w:ind w:left="851" w:hanging="851"/>
        <w:rPr/>
      </w:pPr>
      <w:bookmarkStart w:id="55" w:name="_Toc454366481"/>
      <w:bookmarkStart w:id="56" w:name="_Toc412646223"/>
      <w:bookmarkEnd w:id="55"/>
      <w:bookmarkEnd w:id="56"/>
      <w:r>
        <w:rPr/>
        <w:t>Approval of Report</w:t>
      </w:r>
    </w:p>
    <w:tbl>
      <w:tblPr>
        <w:tblStyle w:val="ae"/>
        <w:tblW w:w="9576" w:type="dxa"/>
        <w:jc w:val="left"/>
        <w:tblInd w:w="0" w:type="dxa"/>
        <w:tblCellMar>
          <w:top w:w="0" w:type="dxa"/>
          <w:left w:w="88" w:type="dxa"/>
          <w:bottom w:w="0" w:type="dxa"/>
          <w:right w:w="108" w:type="dxa"/>
        </w:tblCellMar>
        <w:tblLook w:firstRow="1" w:noVBand="1" w:lastRow="0" w:firstColumn="1" w:lastColumn="0" w:noHBand="0" w:val="04a0"/>
      </w:tblPr>
      <w:tblGrid>
        <w:gridCol w:w="1276"/>
        <w:gridCol w:w="3783"/>
        <w:gridCol w:w="2791"/>
        <w:gridCol w:w="1725"/>
      </w:tblGrid>
      <w:tr>
        <w:trPr>
          <w:trHeight w:val="647" w:hRule="atLeast"/>
        </w:trPr>
        <w:tc>
          <w:tcPr>
            <w:tcW w:w="9575" w:type="dxa"/>
            <w:gridSpan w:val="4"/>
            <w:tcBorders/>
            <w:shd w:color="auto" w:fill="315644" w:themeFill="accent3" w:themeFillShade="80" w:val="clear"/>
            <w:tcMar>
              <w:left w:w="88" w:type="dxa"/>
            </w:tcMar>
            <w:vAlign w:val="center"/>
          </w:tcPr>
          <w:p>
            <w:pPr>
              <w:pStyle w:val="Normal"/>
              <w:spacing w:lineRule="auto" w:line="240" w:before="120" w:after="0"/>
              <w:rPr>
                <w:b/>
                <w:b/>
                <w:color w:val="FFFFFF" w:themeColor="background1"/>
                <w:lang w:val="en-US"/>
              </w:rPr>
            </w:pPr>
            <w:r>
              <w:rPr>
                <w:b/>
                <w:color w:val="FFFFFF" w:themeColor="background1"/>
                <w:lang w:val="en-US"/>
              </w:rPr>
              <w:t>Approval of Supply Base Report by senior management</w:t>
            </w:r>
          </w:p>
        </w:tc>
      </w:tr>
      <w:tr>
        <w:trPr>
          <w:trHeight w:val="1052" w:hRule="atLeast"/>
        </w:trPr>
        <w:tc>
          <w:tcPr>
            <w:tcW w:w="1276" w:type="dxa"/>
            <w:vMerge w:val="restart"/>
            <w:tcBorders/>
            <w:shd w:color="auto" w:fill="A3CAB8" w:themeFill="accent3" w:themeFillTint="99" w:val="clear"/>
            <w:tcMar>
              <w:left w:w="88" w:type="dxa"/>
            </w:tcMar>
            <w:vAlign w:val="center"/>
          </w:tcPr>
          <w:p>
            <w:pPr>
              <w:pStyle w:val="Normal"/>
              <w:spacing w:lineRule="auto" w:line="240" w:before="120" w:after="0"/>
              <w:rPr>
                <w:b/>
                <w:b/>
                <w:lang w:val="en-US"/>
              </w:rPr>
            </w:pPr>
            <w:r>
              <w:rPr>
                <w:b/>
                <w:lang w:val="en-US"/>
              </w:rPr>
              <w:t>Report Prepared by:</w:t>
            </w:r>
          </w:p>
        </w:tc>
        <w:tc>
          <w:tcPr>
            <w:tcW w:w="3783" w:type="dxa"/>
            <w:tcBorders/>
            <w:shd w:color="auto" w:fill="auto" w:val="clear"/>
            <w:tcMar>
              <w:left w:w="88" w:type="dxa"/>
            </w:tcMar>
            <w:vAlign w:val="center"/>
          </w:tcPr>
          <w:p>
            <w:pPr>
              <w:pStyle w:val="Normal"/>
              <w:spacing w:lineRule="auto" w:line="240" w:before="120" w:after="0"/>
              <w:rPr>
                <w:b/>
                <w:b/>
                <w:i/>
                <w:i/>
                <w:lang w:val="en-US"/>
              </w:rPr>
            </w:pPr>
            <w:r>
              <w:drawing>
                <wp:anchor behindDoc="0" distT="0" distB="0" distL="114300" distR="114300" simplePos="0" locked="0" layoutInCell="1" allowOverlap="1" relativeHeight="4">
                  <wp:simplePos x="0" y="0"/>
                  <wp:positionH relativeFrom="margin">
                    <wp:posOffset>521970</wp:posOffset>
                  </wp:positionH>
                  <wp:positionV relativeFrom="margin">
                    <wp:posOffset>281940</wp:posOffset>
                  </wp:positionV>
                  <wp:extent cx="1320800" cy="927100"/>
                  <wp:effectExtent l="0" t="0" r="0" b="0"/>
                  <wp:wrapSquare wrapText="bothSides"/>
                  <wp:docPr id="6"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1" descr=""/>
                          <pic:cNvPicPr>
                            <a:picLocks noChangeAspect="1" noChangeArrowheads="1"/>
                          </pic:cNvPicPr>
                        </pic:nvPicPr>
                        <pic:blipFill>
                          <a:blip r:embed="rId6"/>
                          <a:stretch>
                            <a:fillRect/>
                          </a:stretch>
                        </pic:blipFill>
                        <pic:spPr bwMode="auto">
                          <a:xfrm>
                            <a:off x="0" y="0"/>
                            <a:ext cx="1320800" cy="927100"/>
                          </a:xfrm>
                          <a:prstGeom prst="rect">
                            <a:avLst/>
                          </a:prstGeom>
                        </pic:spPr>
                      </pic:pic>
                    </a:graphicData>
                  </a:graphic>
                </wp:anchor>
              </w:drawing>
            </w:r>
            <w:r>
              <w:rPr>
                <w:b/>
                <w:i/>
                <w:lang w:val="en-US"/>
              </w:rPr>
              <w:t>N</w:t>
            </w:r>
            <w:r>
              <w:rPr>
                <w:b/>
                <w:i/>
                <w:lang w:val="en-US"/>
              </w:rPr>
              <w:t>ina Petrovna Fumina</w:t>
            </w:r>
          </w:p>
        </w:tc>
        <w:tc>
          <w:tcPr>
            <w:tcW w:w="2791" w:type="dxa"/>
            <w:tcBorders/>
            <w:shd w:color="auto" w:fill="auto" w:val="clear"/>
            <w:tcMar>
              <w:left w:w="88" w:type="dxa"/>
            </w:tcMar>
            <w:vAlign w:val="center"/>
          </w:tcPr>
          <w:p>
            <w:pPr>
              <w:pStyle w:val="Normal"/>
              <w:spacing w:lineRule="auto" w:line="240" w:before="120" w:after="0"/>
              <w:rPr>
                <w:b/>
                <w:b/>
                <w:i/>
                <w:i/>
                <w:lang w:val="en-US"/>
              </w:rPr>
            </w:pPr>
            <w:r>
              <w:rPr>
                <w:b/>
                <w:i/>
                <w:lang w:val="en-US"/>
              </w:rPr>
              <w:t>Responsible for SBP Certification</w:t>
            </w:r>
          </w:p>
        </w:tc>
        <w:tc>
          <w:tcPr>
            <w:tcW w:w="1725" w:type="dxa"/>
            <w:tcBorders/>
            <w:shd w:color="auto" w:fill="auto" w:val="clear"/>
            <w:tcMar>
              <w:left w:w="88" w:type="dxa"/>
            </w:tcMar>
            <w:vAlign w:val="center"/>
          </w:tcPr>
          <w:p>
            <w:pPr>
              <w:pStyle w:val="Normal"/>
              <w:spacing w:lineRule="auto" w:line="240" w:before="120" w:after="0"/>
              <w:rPr/>
            </w:pPr>
            <w:r>
              <w:rPr>
                <w:b/>
                <w:i/>
                <w:lang w:val="en-US"/>
              </w:rPr>
              <w:t>18</w:t>
            </w:r>
            <w:r>
              <w:rPr>
                <w:b/>
                <w:i/>
                <w:lang w:val="en-US"/>
              </w:rPr>
              <w:t>/03/20</w:t>
            </w:r>
            <w:r>
              <w:rPr>
                <w:b/>
                <w:i/>
                <w:lang w:val="en-US"/>
              </w:rPr>
              <w:t>20</w:t>
            </w:r>
          </w:p>
        </w:tc>
      </w:tr>
      <w:tr>
        <w:trPr>
          <w:trHeight w:val="413" w:hRule="atLeast"/>
        </w:trPr>
        <w:tc>
          <w:tcPr>
            <w:tcW w:w="1276" w:type="dxa"/>
            <w:vMerge w:val="continue"/>
            <w:tcBorders/>
            <w:shd w:color="auto" w:fill="A3CAB8" w:themeFill="accent3" w:themeFillTint="99" w:val="clear"/>
            <w:tcMar>
              <w:left w:w="88" w:type="dxa"/>
            </w:tcMar>
            <w:vAlign w:val="center"/>
          </w:tcPr>
          <w:p>
            <w:pPr>
              <w:pStyle w:val="Normal"/>
              <w:spacing w:lineRule="auto" w:line="240" w:before="0" w:after="0"/>
              <w:rPr>
                <w:b/>
                <w:b/>
                <w:lang w:val="en-US"/>
              </w:rPr>
            </w:pPr>
            <w:r>
              <w:rPr>
                <w:b/>
                <w:lang w:val="en-US"/>
              </w:rPr>
            </w:r>
          </w:p>
        </w:tc>
        <w:tc>
          <w:tcPr>
            <w:tcW w:w="3783" w:type="dxa"/>
            <w:tcBorders/>
            <w:shd w:color="auto" w:fill="A3CAB8" w:themeFill="accent3" w:themeFillTint="99" w:val="clear"/>
            <w:tcMar>
              <w:left w:w="88" w:type="dxa"/>
            </w:tcMar>
            <w:vAlign w:val="center"/>
          </w:tcPr>
          <w:p>
            <w:pPr>
              <w:pStyle w:val="Normal"/>
              <w:spacing w:lineRule="auto" w:line="240" w:before="120" w:after="0"/>
              <w:rPr>
                <w:b/>
                <w:b/>
                <w:lang w:val="en-US"/>
              </w:rPr>
            </w:pPr>
            <w:r>
              <w:rPr>
                <w:b/>
                <w:lang w:val="en-US"/>
              </w:rPr>
              <w:t>Name</w:t>
            </w:r>
          </w:p>
        </w:tc>
        <w:tc>
          <w:tcPr>
            <w:tcW w:w="2791" w:type="dxa"/>
            <w:tcBorders/>
            <w:shd w:color="auto" w:fill="A3CAB8" w:themeFill="accent3" w:themeFillTint="99" w:val="clear"/>
            <w:tcMar>
              <w:left w:w="88" w:type="dxa"/>
            </w:tcMar>
            <w:vAlign w:val="center"/>
          </w:tcPr>
          <w:p>
            <w:pPr>
              <w:pStyle w:val="Normal"/>
              <w:spacing w:lineRule="auto" w:line="240" w:before="120" w:after="0"/>
              <w:rPr>
                <w:b/>
                <w:b/>
                <w:lang w:val="en-US"/>
              </w:rPr>
            </w:pPr>
            <w:r>
              <w:rPr>
                <w:b/>
                <w:lang w:val="en-US"/>
              </w:rPr>
              <w:t>Title</w:t>
            </w:r>
          </w:p>
        </w:tc>
        <w:tc>
          <w:tcPr>
            <w:tcW w:w="1725" w:type="dxa"/>
            <w:tcBorders/>
            <w:shd w:color="auto" w:fill="A3CAB8" w:themeFill="accent3" w:themeFillTint="99" w:val="clear"/>
            <w:tcMar>
              <w:left w:w="88" w:type="dxa"/>
            </w:tcMar>
            <w:vAlign w:val="center"/>
          </w:tcPr>
          <w:p>
            <w:pPr>
              <w:pStyle w:val="Normal"/>
              <w:spacing w:lineRule="auto" w:line="240" w:before="120" w:after="0"/>
              <w:rPr>
                <w:b/>
                <w:b/>
                <w:lang w:val="en-US"/>
              </w:rPr>
            </w:pPr>
            <w:r>
              <w:rPr>
                <w:b/>
                <w:lang w:val="en-US"/>
              </w:rPr>
              <w:t>Date</w:t>
            </w:r>
          </w:p>
        </w:tc>
      </w:tr>
      <w:tr>
        <w:trPr>
          <w:trHeight w:val="647" w:hRule="atLeast"/>
        </w:trPr>
        <w:tc>
          <w:tcPr>
            <w:tcW w:w="9575" w:type="dxa"/>
            <w:gridSpan w:val="4"/>
            <w:tcBorders/>
            <w:shd w:color="auto" w:fill="A3CAB8" w:themeFill="accent3" w:themeFillTint="99" w:val="clear"/>
            <w:tcMar>
              <w:left w:w="88" w:type="dxa"/>
            </w:tcMar>
            <w:vAlign w:val="center"/>
          </w:tcPr>
          <w:p>
            <w:pPr>
              <w:pStyle w:val="Normal"/>
              <w:spacing w:lineRule="auto" w:line="240" w:before="120" w:after="0"/>
              <w:rPr>
                <w:b/>
                <w:b/>
                <w:lang w:val="en-US"/>
              </w:rPr>
            </w:pPr>
            <w:r>
              <w:rPr>
                <w:b/>
                <w:lang w:val="en-US"/>
              </w:rPr>
              <w:t xml:space="preserve">The undersigned persons confirm that I/we are members of the organisation’s senior management and do hereby affirm that the contents of this evaluation report were duly acknowledged by senior management as being accurate prior to approval and finalisation of the report. </w:t>
            </w:r>
          </w:p>
        </w:tc>
      </w:tr>
      <w:tr>
        <w:trPr>
          <w:trHeight w:val="1178" w:hRule="atLeast"/>
        </w:trPr>
        <w:tc>
          <w:tcPr>
            <w:tcW w:w="1276" w:type="dxa"/>
            <w:vMerge w:val="restart"/>
            <w:tcBorders/>
            <w:shd w:color="auto" w:fill="A3CAB8" w:themeFill="accent3" w:themeFillTint="99" w:val="clear"/>
            <w:tcMar>
              <w:left w:w="88" w:type="dxa"/>
            </w:tcMar>
            <w:vAlign w:val="center"/>
          </w:tcPr>
          <w:p>
            <w:pPr>
              <w:pStyle w:val="Normal"/>
              <w:spacing w:lineRule="auto" w:line="240" w:before="120" w:after="0"/>
              <w:rPr>
                <w:b/>
                <w:b/>
                <w:lang w:val="en-US"/>
              </w:rPr>
            </w:pPr>
            <w:r>
              <w:rPr>
                <w:b/>
                <w:lang w:val="en-US"/>
              </w:rPr>
              <w:t>Report approved by:</w:t>
            </w:r>
          </w:p>
        </w:tc>
        <w:tc>
          <w:tcPr>
            <w:tcW w:w="3783" w:type="dxa"/>
            <w:tcBorders/>
            <w:shd w:color="auto" w:fill="auto" w:val="clear"/>
            <w:tcMar>
              <w:left w:w="88" w:type="dxa"/>
            </w:tcMar>
            <w:vAlign w:val="center"/>
          </w:tcPr>
          <w:p>
            <w:pPr>
              <w:pStyle w:val="Normal"/>
              <w:spacing w:lineRule="auto" w:line="240" w:before="120" w:after="0"/>
              <w:rPr>
                <w:b/>
                <w:b/>
                <w:i/>
                <w:i/>
                <w:lang w:val="en-US"/>
              </w:rPr>
            </w:pPr>
            <w:r>
              <w:rPr>
                <w:b/>
                <w:i/>
                <w:lang w:val="en-US"/>
              </w:rPr>
              <w:t>Igor Valerievich Brylev</w:t>
            </w:r>
          </w:p>
          <w:p>
            <w:pPr>
              <w:pStyle w:val="Normal"/>
              <w:spacing w:lineRule="auto" w:line="240" w:before="120" w:after="0"/>
              <w:rPr>
                <w:b/>
                <w:b/>
                <w:i/>
                <w:i/>
                <w:lang w:val="en-US"/>
              </w:rPr>
            </w:pPr>
            <w:r>
              <w:rPr>
                <w:b/>
                <w:i/>
                <w:lang w:val="en-US"/>
              </w:rPr>
              <w:drawing>
                <wp:anchor behindDoc="0" distT="0" distB="0" distL="114300" distR="114300" simplePos="0" locked="0" layoutInCell="1" allowOverlap="1" relativeHeight="24">
                  <wp:simplePos x="0" y="0"/>
                  <wp:positionH relativeFrom="margin">
                    <wp:posOffset>928370</wp:posOffset>
                  </wp:positionH>
                  <wp:positionV relativeFrom="margin">
                    <wp:posOffset>280035</wp:posOffset>
                  </wp:positionV>
                  <wp:extent cx="500380" cy="765175"/>
                  <wp:effectExtent l="0" t="0" r="0" b="0"/>
                  <wp:wrapSquare wrapText="bothSides"/>
                  <wp:docPr id="7"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9" descr=""/>
                          <pic:cNvPicPr>
                            <a:picLocks noChangeAspect="1" noChangeArrowheads="1"/>
                          </pic:cNvPicPr>
                        </pic:nvPicPr>
                        <pic:blipFill>
                          <a:blip r:embed="rId7"/>
                          <a:srcRect l="0" t="3343" r="6027" b="3837"/>
                          <a:stretch>
                            <a:fillRect/>
                          </a:stretch>
                        </pic:blipFill>
                        <pic:spPr bwMode="auto">
                          <a:xfrm>
                            <a:off x="0" y="0"/>
                            <a:ext cx="500380" cy="765175"/>
                          </a:xfrm>
                          <a:prstGeom prst="rect">
                            <a:avLst/>
                          </a:prstGeom>
                        </pic:spPr>
                      </pic:pic>
                    </a:graphicData>
                  </a:graphic>
                </wp:anchor>
              </w:drawing>
            </w:r>
          </w:p>
        </w:tc>
        <w:tc>
          <w:tcPr>
            <w:tcW w:w="2791" w:type="dxa"/>
            <w:tcBorders/>
            <w:shd w:color="auto" w:fill="auto" w:val="clear"/>
            <w:tcMar>
              <w:left w:w="88" w:type="dxa"/>
            </w:tcMar>
            <w:vAlign w:val="center"/>
          </w:tcPr>
          <w:p>
            <w:pPr>
              <w:pStyle w:val="Normal"/>
              <w:spacing w:lineRule="auto" w:line="240" w:before="120" w:after="0"/>
              <w:rPr>
                <w:b/>
                <w:b/>
                <w:i/>
                <w:i/>
                <w:lang w:val="en-US"/>
              </w:rPr>
            </w:pPr>
            <w:r>
              <w:rPr>
                <w:b/>
                <w:i/>
                <w:lang w:val="en-US"/>
              </w:rPr>
              <w:t>Director</w:t>
            </w:r>
          </w:p>
        </w:tc>
        <w:tc>
          <w:tcPr>
            <w:tcW w:w="1725" w:type="dxa"/>
            <w:tcBorders/>
            <w:shd w:color="auto" w:fill="auto" w:val="clear"/>
            <w:tcMar>
              <w:left w:w="88" w:type="dxa"/>
            </w:tcMar>
            <w:vAlign w:val="center"/>
          </w:tcPr>
          <w:p>
            <w:pPr>
              <w:pStyle w:val="Normal"/>
              <w:spacing w:lineRule="auto" w:line="240" w:before="120" w:after="0"/>
              <w:rPr/>
            </w:pPr>
            <w:r>
              <w:rPr>
                <w:b/>
                <w:i/>
                <w:lang w:val="en-US"/>
              </w:rPr>
              <w:t>18</w:t>
            </w:r>
            <w:r>
              <w:rPr>
                <w:b/>
                <w:i/>
                <w:lang w:val="en-US"/>
              </w:rPr>
              <w:t>/03/20</w:t>
            </w:r>
            <w:r>
              <w:rPr>
                <w:b/>
                <w:i/>
                <w:lang w:val="en-US"/>
              </w:rPr>
              <w:t>20</w:t>
            </w:r>
          </w:p>
        </w:tc>
      </w:tr>
      <w:tr>
        <w:trPr>
          <w:trHeight w:val="413" w:hRule="atLeast"/>
        </w:trPr>
        <w:tc>
          <w:tcPr>
            <w:tcW w:w="1276" w:type="dxa"/>
            <w:vMerge w:val="continue"/>
            <w:tcBorders/>
            <w:shd w:color="auto" w:fill="A3CAB8" w:themeFill="accent3" w:themeFillTint="99" w:val="clear"/>
            <w:tcMar>
              <w:left w:w="88" w:type="dxa"/>
            </w:tcMar>
            <w:vAlign w:val="center"/>
          </w:tcPr>
          <w:p>
            <w:pPr>
              <w:pStyle w:val="Normal"/>
              <w:spacing w:lineRule="auto" w:line="240" w:before="120" w:after="0"/>
              <w:rPr>
                <w:b/>
                <w:b/>
                <w:lang w:val="en-US"/>
              </w:rPr>
            </w:pPr>
            <w:r>
              <w:rPr>
                <w:b/>
                <w:lang w:val="en-US"/>
              </w:rPr>
            </w:r>
          </w:p>
        </w:tc>
        <w:tc>
          <w:tcPr>
            <w:tcW w:w="3783" w:type="dxa"/>
            <w:tcBorders/>
            <w:shd w:color="auto" w:fill="A3CAB8" w:themeFill="accent3" w:themeFillTint="99" w:val="clear"/>
            <w:tcMar>
              <w:left w:w="88" w:type="dxa"/>
            </w:tcMar>
            <w:vAlign w:val="center"/>
          </w:tcPr>
          <w:p>
            <w:pPr>
              <w:pStyle w:val="Normal"/>
              <w:spacing w:lineRule="auto" w:line="240" w:before="120" w:after="0"/>
              <w:rPr>
                <w:b/>
                <w:b/>
                <w:lang w:val="en-US"/>
              </w:rPr>
            </w:pPr>
            <w:r>
              <w:rPr>
                <w:b/>
                <w:lang w:val="en-US"/>
              </w:rPr>
              <w:t>Name</w:t>
            </w:r>
          </w:p>
        </w:tc>
        <w:tc>
          <w:tcPr>
            <w:tcW w:w="2791" w:type="dxa"/>
            <w:tcBorders/>
            <w:shd w:color="auto" w:fill="A3CAB8" w:themeFill="accent3" w:themeFillTint="99" w:val="clear"/>
            <w:tcMar>
              <w:left w:w="88" w:type="dxa"/>
            </w:tcMar>
            <w:vAlign w:val="center"/>
          </w:tcPr>
          <w:p>
            <w:pPr>
              <w:pStyle w:val="Normal"/>
              <w:spacing w:lineRule="auto" w:line="240" w:before="120" w:after="0"/>
              <w:rPr>
                <w:b/>
                <w:b/>
                <w:lang w:val="en-US"/>
              </w:rPr>
            </w:pPr>
            <w:r>
              <w:rPr>
                <w:b/>
                <w:lang w:val="en-US"/>
              </w:rPr>
              <w:t>Title</w:t>
            </w:r>
          </w:p>
        </w:tc>
        <w:tc>
          <w:tcPr>
            <w:tcW w:w="1725" w:type="dxa"/>
            <w:tcBorders/>
            <w:shd w:color="auto" w:fill="A3CAB8" w:themeFill="accent3" w:themeFillTint="99" w:val="clear"/>
            <w:tcMar>
              <w:left w:w="88" w:type="dxa"/>
            </w:tcMar>
            <w:vAlign w:val="center"/>
          </w:tcPr>
          <w:p>
            <w:pPr>
              <w:pStyle w:val="Normal"/>
              <w:spacing w:lineRule="auto" w:line="240" w:before="120" w:after="0"/>
              <w:rPr>
                <w:b/>
                <w:b/>
                <w:lang w:val="en-US"/>
              </w:rPr>
            </w:pPr>
            <w:r>
              <w:rPr>
                <w:b/>
                <w:lang w:val="en-US"/>
              </w:rPr>
              <w:t>Date</w:t>
            </w:r>
          </w:p>
        </w:tc>
      </w:tr>
    </w:tbl>
    <w:p>
      <w:pPr>
        <w:pStyle w:val="Normal"/>
        <w:rPr/>
      </w:pPr>
      <w:r>
        <w:rPr/>
      </w:r>
    </w:p>
    <w:p>
      <w:pPr>
        <w:pStyle w:val="1"/>
        <w:numPr>
          <w:ilvl w:val="0"/>
          <w:numId w:val="2"/>
        </w:numPr>
        <w:ind w:left="851" w:hanging="851"/>
        <w:rPr/>
      </w:pPr>
      <w:bookmarkStart w:id="57" w:name="_Toc454366482"/>
      <w:bookmarkStart w:id="58" w:name="_Toc412646224"/>
      <w:bookmarkEnd w:id="57"/>
      <w:bookmarkEnd w:id="58"/>
      <w:r>
        <w:rPr/>
        <w:t>Updates</w:t>
      </w:r>
    </w:p>
    <w:p>
      <w:pPr>
        <w:pStyle w:val="2"/>
        <w:numPr>
          <w:ilvl w:val="1"/>
          <w:numId w:val="2"/>
        </w:numPr>
        <w:ind w:left="851" w:hanging="851"/>
        <w:rPr/>
      </w:pPr>
      <w:bookmarkStart w:id="59" w:name="_Toc454366483"/>
      <w:bookmarkStart w:id="60" w:name="_Toc412646225"/>
      <w:bookmarkEnd w:id="59"/>
      <w:bookmarkEnd w:id="60"/>
      <w:r>
        <w:rPr/>
        <w:t>Significant changes in the Supply Base</w:t>
      </w:r>
    </w:p>
    <w:p>
      <w:pPr>
        <w:pStyle w:val="Normal"/>
        <w:rPr/>
      </w:pPr>
      <w:bookmarkStart w:id="61" w:name="_Toc454366484"/>
      <w:bookmarkStart w:id="62" w:name="_Toc412646226"/>
      <w:bookmarkEnd w:id="61"/>
      <w:bookmarkEnd w:id="62"/>
      <w:r>
        <w:rPr/>
        <w:t>Not applicable.</w:t>
      </w:r>
    </w:p>
    <w:p>
      <w:pPr>
        <w:pStyle w:val="2"/>
        <w:numPr>
          <w:ilvl w:val="1"/>
          <w:numId w:val="2"/>
        </w:numPr>
        <w:ind w:left="851" w:hanging="851"/>
        <w:rPr/>
      </w:pPr>
      <w:bookmarkStart w:id="63" w:name="_Toc4543664841"/>
      <w:bookmarkStart w:id="64" w:name="_Toc4126462261"/>
      <w:bookmarkEnd w:id="63"/>
      <w:bookmarkEnd w:id="64"/>
      <w:r>
        <w:rPr/>
        <w:t>Effectiveness of previous mitigation measures</w:t>
      </w:r>
    </w:p>
    <w:p>
      <w:pPr>
        <w:pStyle w:val="Normal"/>
        <w:rPr/>
      </w:pPr>
      <w:r>
        <w:rPr/>
        <w:t>Not applicable.</w:t>
      </w:r>
    </w:p>
    <w:p>
      <w:pPr>
        <w:pStyle w:val="2"/>
        <w:numPr>
          <w:ilvl w:val="1"/>
          <w:numId w:val="2"/>
        </w:numPr>
        <w:ind w:left="851" w:hanging="851"/>
        <w:rPr/>
      </w:pPr>
      <w:bookmarkStart w:id="65" w:name="_Toc454366485"/>
      <w:bookmarkStart w:id="66" w:name="_Toc412646227"/>
      <w:bookmarkEnd w:id="65"/>
      <w:bookmarkEnd w:id="66"/>
      <w:r>
        <w:rPr/>
        <w:t>New risk ratings and mitigation measures</w:t>
      </w:r>
    </w:p>
    <w:p>
      <w:pPr>
        <w:pStyle w:val="Normal"/>
        <w:rPr/>
      </w:pPr>
      <w:r>
        <w:rPr/>
        <w:t>Not applicable.</w:t>
      </w:r>
    </w:p>
    <w:p>
      <w:pPr>
        <w:pStyle w:val="2"/>
        <w:numPr>
          <w:ilvl w:val="1"/>
          <w:numId w:val="2"/>
        </w:numPr>
        <w:ind w:left="851" w:hanging="851"/>
        <w:rPr/>
      </w:pPr>
      <w:bookmarkStart w:id="67" w:name="_Toc454366486"/>
      <w:bookmarkStart w:id="68" w:name="_Toc412646228"/>
      <w:bookmarkEnd w:id="67"/>
      <w:bookmarkEnd w:id="68"/>
      <w:r>
        <w:rPr/>
        <w:t>Actual figures for feedstock over the previous 12 months</w:t>
      </w:r>
    </w:p>
    <w:p>
      <w:pPr>
        <w:pStyle w:val="Normal"/>
        <w:rPr/>
      </w:pPr>
      <w:r>
        <w:rPr>
          <w:i/>
        </w:rPr>
        <w:t>14 729,4</w:t>
      </w:r>
      <w:r>
        <w:rPr>
          <w:i/>
        </w:rPr>
        <w:t xml:space="preserve"> tons </w:t>
      </w:r>
    </w:p>
    <w:p>
      <w:pPr>
        <w:pStyle w:val="2"/>
        <w:numPr>
          <w:ilvl w:val="1"/>
          <w:numId w:val="2"/>
        </w:numPr>
        <w:ind w:left="851" w:hanging="851"/>
        <w:rPr/>
      </w:pPr>
      <w:bookmarkStart w:id="69" w:name="_Toc454366487"/>
      <w:bookmarkStart w:id="70" w:name="_Toc412646229"/>
      <w:bookmarkEnd w:id="69"/>
      <w:bookmarkEnd w:id="70"/>
      <w:r>
        <w:rPr/>
        <w:t>Projected figures for feedstock over the next 12 months</w:t>
      </w:r>
    </w:p>
    <w:p>
      <w:pPr>
        <w:pStyle w:val="Normal"/>
        <w:widowControl/>
        <w:bidi w:val="0"/>
        <w:spacing w:lineRule="auto" w:line="312" w:before="0" w:after="200"/>
        <w:jc w:val="left"/>
        <w:rPr/>
      </w:pPr>
      <w:r>
        <w:rPr>
          <w:i/>
        </w:rPr>
        <w:t>1</w:t>
      </w:r>
      <w:r>
        <w:rPr>
          <w:i/>
        </w:rPr>
        <w:t>5</w:t>
      </w:r>
      <w:r>
        <w:rPr>
          <w:i/>
        </w:rPr>
        <w:t> 000 tones</w:t>
      </w:r>
    </w:p>
    <w:sectPr>
      <w:headerReference w:type="default" r:id="rId8"/>
      <w:headerReference w:type="first" r:id="rId9"/>
      <w:footerReference w:type="default" r:id="rId10"/>
      <w:footerReference w:type="first" r:id="rId11"/>
      <w:type w:val="nextPage"/>
      <w:pgSz w:w="11906" w:h="16838"/>
      <w:pgMar w:left="1134" w:right="1134" w:header="1140" w:top="2386" w:footer="680" w:bottom="1134" w:gutter="0"/>
      <w:pgNumType w:fmt="lowerRoman"/>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Georgia">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Menlo Regular">
    <w:charset w:val="cc"/>
    <w:family w:val="roman"/>
    <w:pitch w:val="variable"/>
  </w:font>
  <w:font w:name="MS Gothic">
    <w:charset w:val="cc"/>
    <w:family w:val="roman"/>
    <w:pitch w:val="variable"/>
  </w:font>
  <w:font w:name="Times New Roman">
    <w:charset w:val="cc"/>
    <w:family w:val="roman"/>
    <w:pitch w:val="variable"/>
  </w:font>
  <w:font w:name="Segoe UI Symbol">
    <w:charset w:val="cc"/>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9631286"/>
    </w:sdtPr>
    <w:sdtContent>
      <w:p>
        <w:pPr>
          <w:pStyle w:val="Style21"/>
          <w:rPr/>
        </w:pPr>
        <w:r>
          <w:rPr/>
          <w:t>SBP Framework Supply Base Report: Template for BPs</w:t>
          <w:tab/>
          <w:t xml:space="preserve"> v1.3</w:t>
          <w:tab/>
          <w:t xml:space="preserve">Page </w:t>
        </w:r>
        <w:r>
          <w:rPr/>
          <w:fldChar w:fldCharType="begin"/>
        </w:r>
        <w:r>
          <w:instrText> PAGE </w:instrText>
        </w:r>
        <w:r>
          <w:fldChar w:fldCharType="separate"/>
        </w:r>
        <w:r>
          <w:t>xx</w:t>
        </w:r>
        <w: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mc:AlternateContent>
        <mc:Choice Requires="wps">
          <w:drawing>
            <wp:anchor behindDoc="1" distT="0" distB="0" distL="114300" distR="114300" simplePos="0" locked="0" layoutInCell="1" allowOverlap="1" relativeHeight="67" wp14:anchorId="4FBCAD4F">
              <wp:simplePos x="0" y="0"/>
              <wp:positionH relativeFrom="page">
                <wp:posOffset>-3175</wp:posOffset>
              </wp:positionH>
              <wp:positionV relativeFrom="page">
                <wp:posOffset>10845165</wp:posOffset>
              </wp:positionV>
              <wp:extent cx="7563485" cy="1083310"/>
              <wp:effectExtent l="0" t="0" r="2540" b="0"/>
              <wp:wrapNone/>
              <wp:docPr id="15" name="Rectangle 2"/>
              <a:graphic xmlns:a="http://schemas.openxmlformats.org/drawingml/2006/main">
                <a:graphicData uri="http://schemas.microsoft.com/office/word/2010/wordprocessingShape">
                  <wps:wsp>
                    <wps:cNvSpPr/>
                    <wps:spPr>
                      <a:xfrm>
                        <a:off x="0" y="0"/>
                        <a:ext cx="7562880" cy="1082520"/>
                      </a:xfrm>
                      <a:prstGeom prst="rect">
                        <a:avLst/>
                      </a:prstGeom>
                      <a:solidFill>
                        <a:srgbClr val="d9e9e2"/>
                      </a:solidFill>
                      <a:ln>
                        <a:noFill/>
                      </a:ln>
                    </wps:spPr>
                    <wps:style>
                      <a:lnRef idx="0"/>
                      <a:fillRef idx="0"/>
                      <a:effectRef idx="0"/>
                      <a:fontRef idx="minor"/>
                    </wps:style>
                    <wps:bodyPr/>
                  </wps:wsp>
                </a:graphicData>
              </a:graphic>
            </wp:anchor>
          </w:drawing>
        </mc:Choice>
        <mc:Fallback>
          <w:pict>
            <v:rect id="shape_0" ID="Rectangle 2" fillcolor="#d9e9e2" stroked="f" style="position:absolute;margin-left:-0.25pt;margin-top:853.95pt;width:595.45pt;height:85.2pt;mso-position-horizontal-relative:page;mso-position-vertical-relative:page" wp14:anchorId="4FBCAD4F">
              <w10:wrap type="none"/>
              <v:fill o:detectmouseclick="t" type="solid" color2="#26161d"/>
              <v:stroke color="#3465a4" joinstyle="round" endcap="flat"/>
            </v:rect>
          </w:pict>
        </mc:Fallback>
      </mc:AlternateContent>
      <w:drawing>
        <wp:anchor behindDoc="1" distT="0" distB="0" distL="114300" distR="118110" simplePos="0" locked="0" layoutInCell="1" allowOverlap="1" relativeHeight="68">
          <wp:simplePos x="0" y="0"/>
          <wp:positionH relativeFrom="column">
            <wp:posOffset>5043170</wp:posOffset>
          </wp:positionH>
          <wp:positionV relativeFrom="paragraph">
            <wp:posOffset>880110</wp:posOffset>
          </wp:positionV>
          <wp:extent cx="1482090" cy="862330"/>
          <wp:effectExtent l="0" t="0" r="0" b="0"/>
          <wp:wrapNone/>
          <wp:docPr id="16"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 descr=""/>
                  <pic:cNvPicPr>
                    <a:picLocks noChangeAspect="1" noChangeArrowheads="1"/>
                  </pic:cNvPicPr>
                </pic:nvPicPr>
                <pic:blipFill>
                  <a:blip r:embed="rId1"/>
                  <a:stretch>
                    <a:fillRect/>
                  </a:stretch>
                </pic:blipFill>
                <pic:spPr bwMode="auto">
                  <a:xfrm>
                    <a:off x="0" y="0"/>
                    <a:ext cx="1482090" cy="86233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rFonts w:ascii="Georgia" w:hAnsi="Georgia" w:asciiTheme="majorHAnsi" w:hAnsiTheme="majorHAnsi"/>
        <w:color w:val="8AB059"/>
        <w:sz w:val="28"/>
        <w:szCs w:val="28"/>
      </w:rPr>
    </w:pPr>
    <w:r>
      <mc:AlternateContent>
        <mc:Choice Requires="wps">
          <w:drawing>
            <wp:anchor behindDoc="1" distT="0" distB="0" distL="114300" distR="114300" simplePos="0" locked="0" layoutInCell="1" allowOverlap="1" relativeHeight="23" wp14:anchorId="41FDAA42">
              <wp:simplePos x="0" y="0"/>
              <wp:positionH relativeFrom="page">
                <wp:posOffset>0</wp:posOffset>
              </wp:positionH>
              <wp:positionV relativeFrom="page">
                <wp:posOffset>-9525</wp:posOffset>
              </wp:positionV>
              <wp:extent cx="7563485" cy="1083310"/>
              <wp:effectExtent l="0" t="0" r="2540" b="0"/>
              <wp:wrapNone/>
              <wp:docPr id="8" name="Rectangle 2"/>
              <a:graphic xmlns:a="http://schemas.openxmlformats.org/drawingml/2006/main">
                <a:graphicData uri="http://schemas.microsoft.com/office/word/2010/wordprocessingShape">
                  <wps:wsp>
                    <wps:cNvSpPr/>
                    <wps:spPr>
                      <a:xfrm>
                        <a:off x="0" y="0"/>
                        <a:ext cx="7562880" cy="1082520"/>
                      </a:xfrm>
                      <a:prstGeom prst="rect">
                        <a:avLst/>
                      </a:prstGeom>
                      <a:solidFill>
                        <a:srgbClr val="d9e9e2"/>
                      </a:solidFill>
                      <a:ln>
                        <a:noFill/>
                      </a:ln>
                    </wps:spPr>
                    <wps:style>
                      <a:lnRef idx="0"/>
                      <a:fillRef idx="0"/>
                      <a:effectRef idx="0"/>
                      <a:fontRef idx="minor"/>
                    </wps:style>
                    <wps:bodyPr/>
                  </wps:wsp>
                </a:graphicData>
              </a:graphic>
            </wp:anchor>
          </w:drawing>
        </mc:Choice>
        <mc:Fallback>
          <w:pict>
            <v:rect id="shape_0" ID="Rectangle 2" fillcolor="#d9e9e2" stroked="f" style="position:absolute;margin-left:0pt;margin-top:-0.75pt;width:595.45pt;height:85.2pt;mso-position-horizontal-relative:page;mso-position-vertical-relative:page" wp14:anchorId="41FDAA42">
              <w10:wrap type="none"/>
              <v:fill o:detectmouseclick="t" type="solid" color2="#26161d"/>
              <v:stroke color="#3465a4" joinstyle="round" endcap="flat"/>
            </v:rect>
          </w:pict>
        </mc:Fallback>
      </mc:AlternateContent>
      <w:drawing>
        <wp:anchor behindDoc="1" distT="0" distB="0" distL="133350" distR="123190" simplePos="0" locked="0" layoutInCell="1" allowOverlap="1" relativeHeight="43">
          <wp:simplePos x="0" y="0"/>
          <wp:positionH relativeFrom="page">
            <wp:posOffset>-518160</wp:posOffset>
          </wp:positionH>
          <wp:positionV relativeFrom="page">
            <wp:posOffset>-381635</wp:posOffset>
          </wp:positionV>
          <wp:extent cx="7560310" cy="819150"/>
          <wp:effectExtent l="0" t="0" r="0" b="0"/>
          <wp:wrapNone/>
          <wp:docPr id="9"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Users\jon.hurley.SWITCH\Desktop\clouds.png"/>
                  <pic:cNvPicPr>
                    <a:picLocks noChangeAspect="1" noChangeArrowheads="1"/>
                  </pic:cNvPicPr>
                </pic:nvPicPr>
                <pic:blipFill>
                  <a:blip r:embed="rId1"/>
                  <a:stretch>
                    <a:fillRect/>
                  </a:stretch>
                </pic:blipFill>
                <pic:spPr bwMode="auto">
                  <a:xfrm>
                    <a:off x="0" y="0"/>
                    <a:ext cx="7560310" cy="819150"/>
                  </a:xfrm>
                  <a:prstGeom prst="rect">
                    <a:avLst/>
                  </a:prstGeom>
                </pic:spPr>
              </pic:pic>
            </a:graphicData>
          </a:graphic>
        </wp:anchor>
      </w:drawing>
      <w:drawing>
        <wp:anchor behindDoc="1" distT="0" distB="0" distL="114300" distR="118110" simplePos="0" locked="0" layoutInCell="1" allowOverlap="1" relativeHeight="62">
          <wp:simplePos x="0" y="0"/>
          <wp:positionH relativeFrom="column">
            <wp:posOffset>5046980</wp:posOffset>
          </wp:positionH>
          <wp:positionV relativeFrom="paragraph">
            <wp:posOffset>-565785</wp:posOffset>
          </wp:positionV>
          <wp:extent cx="1482090" cy="862965"/>
          <wp:effectExtent l="0" t="0" r="0" b="0"/>
          <wp:wrapNone/>
          <wp:docPr id="10"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9" descr=""/>
                  <pic:cNvPicPr>
                    <a:picLocks noChangeAspect="1" noChangeArrowheads="1"/>
                  </pic:cNvPicPr>
                </pic:nvPicPr>
                <pic:blipFill>
                  <a:blip r:embed="rId2"/>
                  <a:stretch>
                    <a:fillRect/>
                  </a:stretch>
                </pic:blipFill>
                <pic:spPr bwMode="auto">
                  <a:xfrm>
                    <a:off x="0" y="0"/>
                    <a:ext cx="1482090" cy="862965"/>
                  </a:xfrm>
                  <a:prstGeom prst="rect">
                    <a:avLst/>
                  </a:prstGeom>
                </pic:spPr>
              </pic:pic>
            </a:graphicData>
          </a:graphic>
        </wp:anchor>
      </w:drawing>
    </w:r>
    <w:r>
      <w:rPr>
        <w:rFonts w:ascii="Georgia" w:hAnsi="Georgia" w:asciiTheme="majorHAnsi" w:hAnsiTheme="majorHAnsi"/>
        <w:color w:val="8AB059"/>
        <w:sz w:val="28"/>
        <w:szCs w:val="28"/>
      </w:rPr>
      <w:t>Focusing on sustainable sourcing solutions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mc:AlternateContent>
        <mc:Choice Requires="wps">
          <w:drawing>
            <wp:anchor behindDoc="1" distT="0" distB="0" distL="114300" distR="114300" simplePos="0" locked="0" layoutInCell="1" allowOverlap="1" relativeHeight="63" wp14:anchorId="0F83B3A8">
              <wp:simplePos x="0" y="0"/>
              <wp:positionH relativeFrom="page">
                <wp:posOffset>15240</wp:posOffset>
              </wp:positionH>
              <wp:positionV relativeFrom="page">
                <wp:posOffset>-27940</wp:posOffset>
              </wp:positionV>
              <wp:extent cx="7613650" cy="10756900"/>
              <wp:effectExtent l="0" t="0" r="0" b="0"/>
              <wp:wrapNone/>
              <wp:docPr id="11" name="Rectangle 1"/>
              <a:graphic xmlns:a="http://schemas.openxmlformats.org/drawingml/2006/main">
                <a:graphicData uri="http://schemas.microsoft.com/office/word/2010/wordprocessingShape">
                  <wps:wsp>
                    <wps:cNvSpPr/>
                    <wps:spPr>
                      <a:xfrm>
                        <a:off x="0" y="0"/>
                        <a:ext cx="7612920" cy="10756440"/>
                      </a:xfrm>
                      <a:prstGeom prst="rect">
                        <a:avLst/>
                      </a:prstGeom>
                      <a:solidFill>
                        <a:srgbClr val="d9e9e2"/>
                      </a:solidFill>
                      <a:ln>
                        <a:noFill/>
                      </a:ln>
                    </wps:spPr>
                    <wps:style>
                      <a:lnRef idx="0"/>
                      <a:fillRef idx="0"/>
                      <a:effectRef idx="0"/>
                      <a:fontRef idx="minor"/>
                    </wps:style>
                    <wps:bodyPr/>
                  </wps:wsp>
                </a:graphicData>
              </a:graphic>
            </wp:anchor>
          </w:drawing>
        </mc:Choice>
        <mc:Fallback>
          <w:pict>
            <v:rect id="shape_0" ID="Rectangle 1" fillcolor="#d9e9e2" stroked="f" style="position:absolute;margin-left:1.2pt;margin-top:-2.2pt;width:599.4pt;height:846.9pt;mso-position-horizontal-relative:page;mso-position-vertical-relative:page" wp14:anchorId="0F83B3A8">
              <w10:wrap type="none"/>
              <v:fill o:detectmouseclick="t" type="solid" color2="#26161d"/>
              <v:stroke color="#3465a4" joinstyle="round" endcap="flat"/>
            </v:rect>
          </w:pict>
        </mc:Fallback>
      </mc:AlternateContent>
      <w:drawing>
        <wp:anchor behindDoc="1" distT="0" distB="0" distL="133350" distR="123190" simplePos="0" locked="0" layoutInCell="1" allowOverlap="1" relativeHeight="64">
          <wp:simplePos x="0" y="0"/>
          <wp:positionH relativeFrom="page">
            <wp:posOffset>-55880</wp:posOffset>
          </wp:positionH>
          <wp:positionV relativeFrom="page">
            <wp:posOffset>9514205</wp:posOffset>
          </wp:positionV>
          <wp:extent cx="7560310" cy="1209675"/>
          <wp:effectExtent l="0" t="0" r="0" b="0"/>
          <wp:wrapNone/>
          <wp:docPr id="12" name="Picture 1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descr="C:\Users\jon.hurley.SWITCH\Desktop\sbpfooter2.png"/>
                  <pic:cNvPicPr>
                    <a:picLocks noChangeAspect="1" noChangeArrowheads="1"/>
                  </pic:cNvPicPr>
                </pic:nvPicPr>
                <pic:blipFill>
                  <a:blip r:embed="rId1"/>
                  <a:stretch>
                    <a:fillRect/>
                  </a:stretch>
                </pic:blipFill>
                <pic:spPr bwMode="auto">
                  <a:xfrm>
                    <a:off x="0" y="0"/>
                    <a:ext cx="7560310" cy="1209675"/>
                  </a:xfrm>
                  <a:prstGeom prst="rect">
                    <a:avLst/>
                  </a:prstGeom>
                </pic:spPr>
              </pic:pic>
            </a:graphicData>
          </a:graphic>
        </wp:anchor>
      </w:drawing>
      <w:drawing>
        <wp:anchor behindDoc="1" distT="0" distB="0" distL="133350" distR="123190" simplePos="0" locked="0" layoutInCell="1" allowOverlap="1" relativeHeight="65">
          <wp:simplePos x="0" y="0"/>
          <wp:positionH relativeFrom="page">
            <wp:posOffset>-31115</wp:posOffset>
          </wp:positionH>
          <wp:positionV relativeFrom="page">
            <wp:posOffset>8841740</wp:posOffset>
          </wp:positionV>
          <wp:extent cx="7560310" cy="733425"/>
          <wp:effectExtent l="0" t="0" r="0" b="0"/>
          <wp:wrapNone/>
          <wp:docPr id="13"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C:\Users\jon.hurley.SWITCH\Desktop\clouds.png"/>
                  <pic:cNvPicPr>
                    <a:picLocks noChangeAspect="1" noChangeArrowheads="1"/>
                  </pic:cNvPicPr>
                </pic:nvPicPr>
                <pic:blipFill>
                  <a:blip r:embed="rId2"/>
                  <a:stretch>
                    <a:fillRect/>
                  </a:stretch>
                </pic:blipFill>
                <pic:spPr bwMode="auto">
                  <a:xfrm>
                    <a:off x="0" y="0"/>
                    <a:ext cx="7560310" cy="733425"/>
                  </a:xfrm>
                  <a:prstGeom prst="rect">
                    <a:avLst/>
                  </a:prstGeom>
                </pic:spPr>
              </pic:pic>
            </a:graphicData>
          </a:graphic>
        </wp:anchor>
      </w:drawing>
      <w:drawing>
        <wp:anchor behindDoc="1" distT="0" distB="0" distL="114300" distR="114300" simplePos="0" locked="0" layoutInCell="1" allowOverlap="1" relativeHeight="66">
          <wp:simplePos x="0" y="0"/>
          <wp:positionH relativeFrom="column">
            <wp:posOffset>4500880</wp:posOffset>
          </wp:positionH>
          <wp:positionV relativeFrom="paragraph">
            <wp:posOffset>-537845</wp:posOffset>
          </wp:positionV>
          <wp:extent cx="2098040" cy="1263650"/>
          <wp:effectExtent l="0" t="0" r="0" b="0"/>
          <wp:wrapNone/>
          <wp:docPr id="1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
                  <pic:cNvPicPr>
                    <a:picLocks noChangeAspect="1" noChangeArrowheads="1"/>
                  </pic:cNvPicPr>
                </pic:nvPicPr>
                <pic:blipFill>
                  <a:blip r:embed="rId3"/>
                  <a:stretch>
                    <a:fillRect/>
                  </a:stretch>
                </pic:blipFill>
                <pic:spPr bwMode="auto">
                  <a:xfrm>
                    <a:off x="0" y="0"/>
                    <a:ext cx="2098040" cy="12636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360" w:hanging="360"/>
      </w:pPr>
    </w:lvl>
    <w:lvl w:ilvl="1">
      <w:start w:val="1"/>
      <w:pStyle w:val="2"/>
      <w:numFmt w:val="decimal"/>
      <w:lvlText w:val="%1.%2"/>
      <w:lvlJc w:val="left"/>
      <w:pPr>
        <w:ind w:left="720" w:hanging="360"/>
      </w:pPr>
    </w:lvl>
    <w:lvl w:ilvl="2">
      <w:start w:val="1"/>
      <w:pStyle w:val="3"/>
      <w:numFmt w:val="decimal"/>
      <w:lvlText w:val="%1.%2.%3"/>
      <w:lvlJc w:val="left"/>
      <w:pPr>
        <w:ind w:left="1080" w:hanging="36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lowerLetter"/>
      <w:lvlText w:val="%1."/>
      <w:lvlJc w:val="left"/>
      <w:pPr>
        <w:ind w:left="360" w:hanging="360"/>
      </w:pPr>
    </w:lvl>
    <w:lvl w:ilvl="1">
      <w:start w:val="8"/>
      <w:numFmt w:val="bullet"/>
      <w:lvlText w:val="-"/>
      <w:lvlJc w:val="left"/>
      <w:pPr>
        <w:ind w:left="1080" w:hanging="360"/>
      </w:pPr>
      <w:rPr>
        <w:rFonts w:ascii="Arial" w:hAnsi="Arial" w:cs="Arial" w:hint="default"/>
        <w:rFonts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09b9"/>
    <w:pPr>
      <w:widowControl/>
      <w:bidi w:val="0"/>
      <w:spacing w:lineRule="auto" w:line="312" w:before="0" w:after="200"/>
      <w:jc w:val="left"/>
    </w:pPr>
    <w:rPr>
      <w:rFonts w:ascii="Arial" w:hAnsi="Arial" w:eastAsia="Arial" w:cs="" w:asciiTheme="minorHAnsi" w:cstheme="minorBidi" w:eastAsiaTheme="minorHAnsi" w:hAnsiTheme="minorHAnsi"/>
      <w:color w:val="00000A"/>
      <w:kern w:val="0"/>
      <w:sz w:val="20"/>
      <w:szCs w:val="20"/>
      <w:lang w:val="en-GB" w:eastAsia="en-US" w:bidi="ar-SA"/>
    </w:rPr>
  </w:style>
  <w:style w:type="paragraph" w:styleId="1">
    <w:name w:val="Heading 1"/>
    <w:basedOn w:val="Normal"/>
    <w:link w:val="10"/>
    <w:uiPriority w:val="9"/>
    <w:qFormat/>
    <w:rsid w:val="007b4310"/>
    <w:pPr>
      <w:keepNext/>
      <w:keepLines/>
      <w:pageBreakBefore/>
      <w:widowControl/>
      <w:numPr>
        <w:ilvl w:val="0"/>
        <w:numId w:val="1"/>
      </w:numPr>
      <w:bidi w:val="0"/>
      <w:spacing w:before="480" w:after="240"/>
      <w:ind w:left="851" w:hanging="851"/>
      <w:jc w:val="left"/>
      <w:outlineLvl w:val="0"/>
    </w:pPr>
    <w:rPr>
      <w:rFonts w:ascii="Georgia" w:hAnsi="Georgia" w:eastAsia="" w:cs="" w:asciiTheme="majorHAnsi" w:cstheme="majorBidi" w:eastAsiaTheme="majorEastAsia" w:hAnsiTheme="majorHAnsi"/>
      <w:bCs/>
      <w:color w:val="3D946D"/>
      <w:sz w:val="48"/>
      <w:szCs w:val="48"/>
    </w:rPr>
  </w:style>
  <w:style w:type="paragraph" w:styleId="2">
    <w:name w:val="Heading 2"/>
    <w:basedOn w:val="1"/>
    <w:link w:val="20"/>
    <w:uiPriority w:val="9"/>
    <w:unhideWhenUsed/>
    <w:qFormat/>
    <w:rsid w:val="007b4310"/>
    <w:pPr>
      <w:pageBreakBefore w:val="false"/>
      <w:numPr>
        <w:ilvl w:val="1"/>
        <w:numId w:val="1"/>
      </w:numPr>
      <w:spacing w:before="360" w:after="120"/>
      <w:ind w:left="851" w:hanging="851"/>
      <w:outlineLvl w:val="1"/>
    </w:pPr>
    <w:rPr>
      <w:bCs w:val="false"/>
      <w:sz w:val="36"/>
      <w:szCs w:val="36"/>
    </w:rPr>
  </w:style>
  <w:style w:type="paragraph" w:styleId="3">
    <w:name w:val="Heading 3"/>
    <w:basedOn w:val="2"/>
    <w:link w:val="30"/>
    <w:uiPriority w:val="9"/>
    <w:unhideWhenUsed/>
    <w:qFormat/>
    <w:rsid w:val="00f04032"/>
    <w:pPr>
      <w:numPr>
        <w:ilvl w:val="2"/>
        <w:numId w:val="1"/>
      </w:numPr>
      <w:spacing w:before="240" w:after="120"/>
      <w:ind w:left="1701" w:hanging="850"/>
      <w:outlineLvl w:val="2"/>
    </w:pPr>
    <w:rPr>
      <w:bCs/>
      <w:sz w:val="32"/>
      <w:szCs w:val="32"/>
    </w:rPr>
  </w:style>
  <w:style w:type="paragraph" w:styleId="4">
    <w:name w:val="Heading 4"/>
    <w:basedOn w:val="Normal"/>
    <w:link w:val="40"/>
    <w:uiPriority w:val="9"/>
    <w:unhideWhenUsed/>
    <w:qFormat/>
    <w:rsid w:val="005b0a2b"/>
    <w:pPr>
      <w:keepNext/>
      <w:keepLines/>
      <w:spacing w:before="240" w:after="120"/>
      <w:ind w:left="1701" w:hanging="850"/>
    </w:pPr>
    <w:rPr>
      <w:rFonts w:ascii="Georgia" w:hAnsi="Georgia" w:eastAsia="" w:cs="" w:asciiTheme="majorHAnsi" w:cstheme="majorBidi" w:eastAsiaTheme="majorEastAsia" w:hAnsiTheme="majorHAnsi"/>
      <w:bCs/>
      <w:iCs/>
      <w:color w:val="3D946D"/>
      <w:sz w:val="28"/>
      <w:szCs w:val="28"/>
    </w:rPr>
  </w:style>
  <w:style w:type="paragraph" w:styleId="5">
    <w:name w:val="Heading 5"/>
    <w:basedOn w:val="Normal"/>
    <w:link w:val="50"/>
    <w:uiPriority w:val="9"/>
    <w:unhideWhenUsed/>
    <w:qFormat/>
    <w:rsid w:val="00360fa4"/>
    <w:pPr>
      <w:keepNext/>
      <w:keepLines/>
      <w:spacing w:before="40" w:after="0"/>
      <w:outlineLvl w:val="4"/>
    </w:pPr>
    <w:rPr>
      <w:rFonts w:ascii="Georgia" w:hAnsi="Georgia" w:eastAsia="" w:cs="" w:asciiTheme="majorHAnsi" w:cstheme="majorBidi" w:eastAsiaTheme="majorEastAsia" w:hAnsiTheme="majorHAnsi"/>
      <w:color w:val="92BDA9" w:themeColor="accent1" w:themeShade="bf"/>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uiPriority w:val="99"/>
    <w:qFormat/>
    <w:rsid w:val="00836d4b"/>
    <w:rPr/>
  </w:style>
  <w:style w:type="character" w:styleId="Style10" w:customStyle="1">
    <w:name w:val="Нижний колонтитул Знак"/>
    <w:basedOn w:val="DefaultParagraphFont"/>
    <w:link w:val="a6"/>
    <w:uiPriority w:val="99"/>
    <w:qFormat/>
    <w:rsid w:val="0060397e"/>
    <w:rPr>
      <w:color w:val="3D946D"/>
      <w:sz w:val="18"/>
      <w:szCs w:val="20"/>
    </w:rPr>
  </w:style>
  <w:style w:type="character" w:styleId="Style11" w:customStyle="1">
    <w:name w:val="Текст выноски Знак"/>
    <w:basedOn w:val="DefaultParagraphFont"/>
    <w:link w:val="a8"/>
    <w:uiPriority w:val="99"/>
    <w:semiHidden/>
    <w:qFormat/>
    <w:rsid w:val="00836d4b"/>
    <w:rPr>
      <w:rFonts w:ascii="Tahoma" w:hAnsi="Tahoma" w:cs="Tahoma"/>
      <w:sz w:val="16"/>
      <w:szCs w:val="16"/>
    </w:rPr>
  </w:style>
  <w:style w:type="character" w:styleId="Style12" w:customStyle="1">
    <w:name w:val="Заголовок Знак"/>
    <w:basedOn w:val="DefaultParagraphFont"/>
    <w:link w:val="aa"/>
    <w:qFormat/>
    <w:rsid w:val="00b94d3b"/>
    <w:rPr>
      <w:rFonts w:ascii="Georgia" w:hAnsi="Georgia" w:eastAsia="" w:cs="" w:cstheme="majorBidi" w:eastAsiaTheme="majorEastAsia"/>
      <w:color w:val="3D946D"/>
      <w:spacing w:val="5"/>
      <w:kern w:val="2"/>
      <w:sz w:val="80"/>
      <w:szCs w:val="80"/>
    </w:rPr>
  </w:style>
  <w:style w:type="character" w:styleId="11" w:customStyle="1">
    <w:name w:val="Заголовок 1 Знак"/>
    <w:basedOn w:val="DefaultParagraphFont"/>
    <w:link w:val="1"/>
    <w:uiPriority w:val="9"/>
    <w:qFormat/>
    <w:rsid w:val="007b4310"/>
    <w:rPr>
      <w:rFonts w:ascii="Georgia" w:hAnsi="Georgia" w:eastAsia="" w:cs="" w:asciiTheme="majorHAnsi" w:cstheme="majorBidi" w:eastAsiaTheme="majorEastAsia" w:hAnsiTheme="majorHAnsi"/>
      <w:bCs/>
      <w:color w:val="3D946D"/>
      <w:sz w:val="48"/>
      <w:szCs w:val="48"/>
    </w:rPr>
  </w:style>
  <w:style w:type="character" w:styleId="Style13">
    <w:name w:val="Интернет-ссылка"/>
    <w:basedOn w:val="DefaultParagraphFont"/>
    <w:uiPriority w:val="99"/>
    <w:unhideWhenUsed/>
    <w:rsid w:val="0060397e"/>
    <w:rPr>
      <w:color w:val="0B6F3E" w:themeColor="hyperlink"/>
      <w:u w:val="single"/>
    </w:rPr>
  </w:style>
  <w:style w:type="character" w:styleId="21" w:customStyle="1">
    <w:name w:val="Заголовок 2 Знак"/>
    <w:basedOn w:val="DefaultParagraphFont"/>
    <w:link w:val="2"/>
    <w:uiPriority w:val="9"/>
    <w:qFormat/>
    <w:rsid w:val="007b4310"/>
    <w:rPr>
      <w:rFonts w:ascii="Georgia" w:hAnsi="Georgia" w:eastAsia="" w:cs="" w:asciiTheme="majorHAnsi" w:cstheme="majorBidi" w:eastAsiaTheme="majorEastAsia" w:hAnsiTheme="majorHAnsi"/>
      <w:color w:val="3D946D"/>
      <w:sz w:val="36"/>
      <w:szCs w:val="36"/>
    </w:rPr>
  </w:style>
  <w:style w:type="character" w:styleId="31" w:customStyle="1">
    <w:name w:val="Заголовок 3 Знак"/>
    <w:basedOn w:val="DefaultParagraphFont"/>
    <w:link w:val="3"/>
    <w:uiPriority w:val="9"/>
    <w:qFormat/>
    <w:rsid w:val="00f04032"/>
    <w:rPr>
      <w:rFonts w:ascii="Georgia" w:hAnsi="Georgia" w:eastAsia="" w:cs="" w:asciiTheme="majorHAnsi" w:cstheme="majorBidi" w:eastAsiaTheme="majorEastAsia" w:hAnsiTheme="majorHAnsi"/>
      <w:bCs/>
      <w:color w:val="3D946D"/>
      <w:sz w:val="32"/>
      <w:szCs w:val="32"/>
    </w:rPr>
  </w:style>
  <w:style w:type="character" w:styleId="41" w:customStyle="1">
    <w:name w:val="Заголовок 4 Знак"/>
    <w:basedOn w:val="DefaultParagraphFont"/>
    <w:link w:val="4"/>
    <w:uiPriority w:val="9"/>
    <w:qFormat/>
    <w:rsid w:val="005b0a2b"/>
    <w:rPr>
      <w:rFonts w:ascii="Georgia" w:hAnsi="Georgia" w:eastAsia="" w:cs="" w:asciiTheme="majorHAnsi" w:cstheme="majorBidi" w:eastAsiaTheme="majorEastAsia" w:hAnsiTheme="majorHAnsi"/>
      <w:bCs/>
      <w:iCs/>
      <w:color w:val="3D946D"/>
      <w:sz w:val="28"/>
      <w:szCs w:val="28"/>
    </w:rPr>
  </w:style>
  <w:style w:type="character" w:styleId="IndentedChar" w:customStyle="1">
    <w:name w:val="Indented Char"/>
    <w:basedOn w:val="DefaultParagraphFont"/>
    <w:link w:val="Indented"/>
    <w:qFormat/>
    <w:rsid w:val="004309b9"/>
    <w:rPr>
      <w:sz w:val="20"/>
      <w:szCs w:val="20"/>
    </w:rPr>
  </w:style>
  <w:style w:type="character" w:styleId="IntentedBulletChar" w:customStyle="1">
    <w:name w:val="Intented Bullet Char"/>
    <w:basedOn w:val="IndentedChar"/>
    <w:link w:val="IntentedBullet"/>
    <w:qFormat/>
    <w:rsid w:val="004309b9"/>
    <w:rPr>
      <w:sz w:val="20"/>
      <w:szCs w:val="20"/>
    </w:rPr>
  </w:style>
  <w:style w:type="character" w:styleId="SubheadingChar" w:customStyle="1">
    <w:name w:val="Sub heading Char"/>
    <w:basedOn w:val="41"/>
    <w:link w:val="Subheading"/>
    <w:qFormat/>
    <w:rsid w:val="00f5639c"/>
    <w:rPr>
      <w:rFonts w:ascii="Georgia" w:hAnsi="Georgia" w:eastAsia="" w:cs="" w:asciiTheme="majorHAnsi" w:cstheme="majorBidi" w:eastAsiaTheme="majorEastAsia" w:hAnsiTheme="majorHAnsi"/>
      <w:bCs/>
      <w:iCs/>
      <w:color w:val="8AB059"/>
      <w:sz w:val="28"/>
      <w:szCs w:val="28"/>
    </w:rPr>
  </w:style>
  <w:style w:type="character" w:styleId="TableChar" w:customStyle="1">
    <w:name w:val="Table Char"/>
    <w:basedOn w:val="DefaultParagraphFont"/>
    <w:link w:val="Table"/>
    <w:qFormat/>
    <w:rsid w:val="007c5eae"/>
    <w:rPr>
      <w:sz w:val="18"/>
      <w:szCs w:val="18"/>
    </w:rPr>
  </w:style>
  <w:style w:type="character" w:styleId="TableBulletChar" w:customStyle="1">
    <w:name w:val="Table Bullet Char"/>
    <w:basedOn w:val="TableChar"/>
    <w:link w:val="TableBullet"/>
    <w:qFormat/>
    <w:rsid w:val="007c5eae"/>
    <w:rPr>
      <w:sz w:val="18"/>
      <w:szCs w:val="18"/>
    </w:rPr>
  </w:style>
  <w:style w:type="character" w:styleId="Linenumber">
    <w:name w:val="line number"/>
    <w:basedOn w:val="DefaultParagraphFont"/>
    <w:uiPriority w:val="99"/>
    <w:semiHidden/>
    <w:unhideWhenUsed/>
    <w:qFormat/>
    <w:rsid w:val="00912623"/>
    <w:rPr/>
  </w:style>
  <w:style w:type="character" w:styleId="51" w:customStyle="1">
    <w:name w:val="Заголовок 5 Знак"/>
    <w:basedOn w:val="DefaultParagraphFont"/>
    <w:link w:val="5"/>
    <w:uiPriority w:val="9"/>
    <w:qFormat/>
    <w:rsid w:val="00360fa4"/>
    <w:rPr>
      <w:rFonts w:ascii="Georgia" w:hAnsi="Georgia" w:eastAsia="" w:cs="" w:asciiTheme="majorHAnsi" w:cstheme="majorBidi" w:eastAsiaTheme="majorEastAsia" w:hAnsiTheme="majorHAnsi"/>
      <w:color w:val="92BDA9" w:themeColor="accent1" w:themeShade="bf"/>
      <w:sz w:val="20"/>
      <w:szCs w:val="20"/>
    </w:rPr>
  </w:style>
  <w:style w:type="character" w:styleId="12" w:customStyle="1">
    <w:name w:val="Неразрешенное упоминание1"/>
    <w:basedOn w:val="DefaultParagraphFont"/>
    <w:uiPriority w:val="99"/>
    <w:qFormat/>
    <w:rsid w:val="00493940"/>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Arial" w:cs="Arial"/>
    </w:rPr>
  </w:style>
  <w:style w:type="character" w:styleId="ListLabel23">
    <w:name w:val="ListLabel 23"/>
    <w:qFormat/>
    <w:rPr>
      <w:rFonts w:eastAsia="Arial" w:cs=""/>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Arial" w:cs=""/>
    </w:rPr>
  </w:style>
  <w:style w:type="character" w:styleId="Style14">
    <w:name w:val="Ссылка указателя"/>
    <w:qFormat/>
    <w:rPr/>
  </w:style>
  <w:style w:type="character" w:styleId="ListLabel28">
    <w:name w:val="ListLabel 28"/>
    <w:qFormat/>
    <w:rPr>
      <w:rFonts w:cs="Arial"/>
    </w:rPr>
  </w:style>
  <w:style w:type="character" w:styleId="ListLabel29">
    <w:name w:val="ListLabel 29"/>
    <w:qFormat/>
    <w:rPr>
      <w:rFonts w:cs="Arial"/>
    </w:rPr>
  </w:style>
  <w:style w:type="character" w:styleId="ListLabel30">
    <w:name w:val="ListLabel 30"/>
    <w:qFormat/>
    <w:rPr>
      <w:rFonts w:cs="Arial"/>
    </w:rPr>
  </w:style>
  <w:style w:type="character" w:styleId="ListLabel31">
    <w:name w:val="ListLabel 31"/>
    <w:qFormat/>
    <w:rPr>
      <w:rFonts w:cs="Arial"/>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Header"/>
    <w:basedOn w:val="Normal"/>
    <w:link w:val="a5"/>
    <w:uiPriority w:val="99"/>
    <w:unhideWhenUsed/>
    <w:rsid w:val="00836d4b"/>
    <w:pPr>
      <w:tabs>
        <w:tab w:val="center" w:pos="4513" w:leader="none"/>
        <w:tab w:val="right" w:pos="9026" w:leader="none"/>
      </w:tabs>
      <w:spacing w:lineRule="auto" w:line="240" w:before="0" w:after="0"/>
    </w:pPr>
    <w:rPr/>
  </w:style>
  <w:style w:type="paragraph" w:styleId="Style21">
    <w:name w:val="Footer"/>
    <w:basedOn w:val="Normal"/>
    <w:link w:val="a7"/>
    <w:uiPriority w:val="99"/>
    <w:unhideWhenUsed/>
    <w:rsid w:val="0060397e"/>
    <w:pPr>
      <w:tabs>
        <w:tab w:val="center" w:pos="4513" w:leader="none"/>
        <w:tab w:val="right" w:pos="9026" w:leader="none"/>
      </w:tabs>
      <w:spacing w:lineRule="auto" w:line="240" w:before="0" w:after="0"/>
      <w:jc w:val="right"/>
    </w:pPr>
    <w:rPr>
      <w:color w:val="3D946D"/>
      <w:sz w:val="18"/>
    </w:rPr>
  </w:style>
  <w:style w:type="paragraph" w:styleId="BalloonText">
    <w:name w:val="Balloon Text"/>
    <w:basedOn w:val="Normal"/>
    <w:link w:val="a9"/>
    <w:uiPriority w:val="99"/>
    <w:semiHidden/>
    <w:unhideWhenUsed/>
    <w:qFormat/>
    <w:rsid w:val="00836d4b"/>
    <w:pPr>
      <w:spacing w:lineRule="auto" w:line="240" w:before="0" w:after="0"/>
    </w:pPr>
    <w:rPr>
      <w:rFonts w:ascii="Tahoma" w:hAnsi="Tahoma" w:cs="Tahoma"/>
      <w:sz w:val="16"/>
      <w:szCs w:val="16"/>
    </w:rPr>
  </w:style>
  <w:style w:type="paragraph" w:styleId="Style22">
    <w:name w:val="Title"/>
    <w:basedOn w:val="Normal"/>
    <w:link w:val="ab"/>
    <w:qFormat/>
    <w:rsid w:val="00b94d3b"/>
    <w:pPr>
      <w:spacing w:lineRule="auto" w:line="240" w:before="0" w:after="300"/>
      <w:contextualSpacing/>
    </w:pPr>
    <w:rPr>
      <w:rFonts w:ascii="Georgia" w:hAnsi="Georgia" w:eastAsia="" w:cs="" w:cstheme="majorBidi" w:eastAsiaTheme="majorEastAsia"/>
      <w:color w:val="3D946D"/>
      <w:spacing w:val="5"/>
      <w:kern w:val="2"/>
      <w:sz w:val="80"/>
      <w:szCs w:val="80"/>
    </w:rPr>
  </w:style>
  <w:style w:type="paragraph" w:styleId="TOCHeading">
    <w:name w:val="TOC Heading"/>
    <w:uiPriority w:val="39"/>
    <w:unhideWhenUsed/>
    <w:qFormat/>
    <w:rsid w:val="00f04032"/>
    <w:pPr>
      <w:widowControl/>
      <w:bidi w:val="0"/>
      <w:jc w:val="left"/>
    </w:pPr>
    <w:rPr>
      <w:rFonts w:ascii="Georgia" w:hAnsi="Georgia" w:eastAsia="" w:cs="" w:asciiTheme="majorHAnsi" w:cstheme="majorBidi" w:eastAsiaTheme="majorEastAsia" w:hAnsiTheme="majorHAnsi"/>
      <w:bCs/>
      <w:color w:val="3D946D"/>
      <w:kern w:val="0"/>
      <w:sz w:val="48"/>
      <w:szCs w:val="48"/>
      <w:lang w:val="en-US" w:eastAsia="en-US" w:bidi="ar-SA"/>
    </w:rPr>
  </w:style>
  <w:style w:type="paragraph" w:styleId="13">
    <w:name w:val="TOC 1"/>
    <w:basedOn w:val="Normal"/>
    <w:autoRedefine/>
    <w:uiPriority w:val="39"/>
    <w:unhideWhenUsed/>
    <w:rsid w:val="00fb28b2"/>
    <w:pPr>
      <w:tabs>
        <w:tab w:val="left" w:pos="567" w:leader="none"/>
        <w:tab w:val="right" w:pos="9639" w:leader="dot"/>
      </w:tabs>
      <w:spacing w:before="0" w:after="100"/>
      <w:ind w:left="567" w:hanging="567"/>
    </w:pPr>
    <w:rPr>
      <w:b/>
    </w:rPr>
  </w:style>
  <w:style w:type="paragraph" w:styleId="22">
    <w:name w:val="TOC 2"/>
    <w:basedOn w:val="Normal"/>
    <w:autoRedefine/>
    <w:uiPriority w:val="39"/>
    <w:unhideWhenUsed/>
    <w:rsid w:val="00f5639c"/>
    <w:pPr>
      <w:tabs>
        <w:tab w:val="left" w:pos="567" w:leader="none"/>
        <w:tab w:val="right" w:pos="9628" w:leader="dot"/>
      </w:tabs>
      <w:spacing w:before="0" w:after="100"/>
    </w:pPr>
    <w:rPr/>
  </w:style>
  <w:style w:type="paragraph" w:styleId="Indented" w:customStyle="1">
    <w:name w:val="Indented"/>
    <w:basedOn w:val="Normal"/>
    <w:link w:val="IndentedChar"/>
    <w:qFormat/>
    <w:rsid w:val="004309b9"/>
    <w:pPr>
      <w:ind w:left="851" w:hanging="0"/>
    </w:pPr>
    <w:rPr/>
  </w:style>
  <w:style w:type="paragraph" w:styleId="32">
    <w:name w:val="TOC 3"/>
    <w:basedOn w:val="Normal"/>
    <w:autoRedefine/>
    <w:uiPriority w:val="39"/>
    <w:unhideWhenUsed/>
    <w:rsid w:val="0083069a"/>
    <w:pPr>
      <w:tabs>
        <w:tab w:val="left" w:pos="1418" w:leader="none"/>
        <w:tab w:val="right" w:pos="9628" w:leader="dot"/>
      </w:tabs>
      <w:spacing w:before="0" w:after="100"/>
      <w:ind w:left="567" w:hanging="0"/>
    </w:pPr>
    <w:rPr/>
  </w:style>
  <w:style w:type="paragraph" w:styleId="42">
    <w:name w:val="TOC 4"/>
    <w:basedOn w:val="Normal"/>
    <w:autoRedefine/>
    <w:uiPriority w:val="39"/>
    <w:unhideWhenUsed/>
    <w:rsid w:val="0083069a"/>
    <w:pPr>
      <w:tabs>
        <w:tab w:val="left" w:pos="1701" w:leader="none"/>
        <w:tab w:val="right" w:pos="9628" w:leader="dot"/>
      </w:tabs>
      <w:spacing w:before="0" w:after="100"/>
      <w:ind w:left="851" w:hanging="0"/>
    </w:pPr>
    <w:rPr>
      <w:i/>
      <w:sz w:val="18"/>
      <w:szCs w:val="18"/>
    </w:rPr>
  </w:style>
  <w:style w:type="paragraph" w:styleId="ListParagraph">
    <w:name w:val="List Paragraph"/>
    <w:basedOn w:val="Normal"/>
    <w:uiPriority w:val="34"/>
    <w:qFormat/>
    <w:rsid w:val="004309b9"/>
    <w:pPr>
      <w:spacing w:before="0" w:after="200"/>
      <w:ind w:left="426" w:hanging="426"/>
      <w:contextualSpacing/>
    </w:pPr>
    <w:rPr/>
  </w:style>
  <w:style w:type="paragraph" w:styleId="IntentedBullet" w:customStyle="1">
    <w:name w:val="Intented Bullet"/>
    <w:basedOn w:val="Indented"/>
    <w:link w:val="IntentedBulletChar"/>
    <w:qFormat/>
    <w:rsid w:val="004309b9"/>
    <w:pPr>
      <w:spacing w:before="0" w:after="200"/>
      <w:ind w:left="1276" w:hanging="425"/>
      <w:contextualSpacing/>
    </w:pPr>
    <w:rPr/>
  </w:style>
  <w:style w:type="paragraph" w:styleId="Subheading" w:customStyle="1">
    <w:name w:val="Sub heading"/>
    <w:basedOn w:val="4"/>
    <w:link w:val="SubheadingChar"/>
    <w:qFormat/>
    <w:rsid w:val="00f5639c"/>
    <w:pPr>
      <w:ind w:left="1701" w:hanging="850"/>
    </w:pPr>
    <w:rPr>
      <w:color w:val="8AB059"/>
    </w:rPr>
  </w:style>
  <w:style w:type="paragraph" w:styleId="Style23" w:customStyle="1">
    <w:name w:val="Таблица"/>
    <w:basedOn w:val="Normal"/>
    <w:link w:val="TableChar"/>
    <w:qFormat/>
    <w:rsid w:val="007c5eae"/>
    <w:pPr>
      <w:spacing w:lineRule="auto" w:line="276" w:before="120" w:after="120"/>
    </w:pPr>
    <w:rPr>
      <w:sz w:val="18"/>
      <w:szCs w:val="18"/>
    </w:rPr>
  </w:style>
  <w:style w:type="paragraph" w:styleId="Default" w:customStyle="1">
    <w:name w:val="Default"/>
    <w:qFormat/>
    <w:rsid w:val="00fe1f9b"/>
    <w:pPr>
      <w:widowControl/>
      <w:bidi w:val="0"/>
      <w:spacing w:lineRule="auto" w:line="240" w:before="0" w:after="0"/>
      <w:jc w:val="left"/>
    </w:pPr>
    <w:rPr>
      <w:rFonts w:ascii="Calibri" w:hAnsi="Calibri" w:eastAsia="Arial" w:cs="Calibri"/>
      <w:color w:val="000000"/>
      <w:kern w:val="0"/>
      <w:sz w:val="24"/>
      <w:szCs w:val="24"/>
      <w:lang w:val="en-GB" w:eastAsia="en-US" w:bidi="ar-SA"/>
    </w:rPr>
  </w:style>
  <w:style w:type="paragraph" w:styleId="TableBullet" w:customStyle="1">
    <w:name w:val="Table Bullet"/>
    <w:basedOn w:val="Style23"/>
    <w:link w:val="TableBulletChar"/>
    <w:qFormat/>
    <w:rsid w:val="007c5eae"/>
    <w:pPr>
      <w:spacing w:before="120" w:after="120"/>
      <w:ind w:left="318" w:hanging="284"/>
      <w:contextualSpacing/>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numbering" w:styleId="SBP" w:customStyle="1">
    <w:name w:val="SBP"/>
    <w:uiPriority w:val="99"/>
    <w:qFormat/>
    <w:rsid w:val="005b0a2b"/>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2"/>
    <w:uiPriority w:val="59"/>
    <w:rsid w:val="009876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bp-cert.org/" TargetMode="External"/><Relationship Id="rId3" Type="http://schemas.openxmlformats.org/officeDocument/2006/relationships/hyperlink" Target="http://www.sbp-cert.org/" TargetMode="External"/><Relationship Id="rId4" Type="http://schemas.openxmlformats.org/officeDocument/2006/relationships/chart" Target="charts/chart1.xml"/><Relationship Id="rId5" Type="http://schemas.openxmlformats.org/officeDocument/2006/relationships/hyperlink" Target="mailto:ooolaguna@inbox.ru" TargetMode="External"/><Relationship Id="rId6" Type="http://schemas.openxmlformats.org/officeDocument/2006/relationships/image" Target="media/image1.tif"/><Relationship Id="rId7" Type="http://schemas.openxmlformats.org/officeDocument/2006/relationships/image" Target="media/image2.t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8.png"/>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Arial"/>
              </a:defRPr>
            </a:pPr>
            <a:r>
              <a:rPr b="0" sz="1400" spc="-1" strike="noStrike">
                <a:solidFill>
                  <a:srgbClr val="595959"/>
                </a:solidFill>
                <a:latin typeface="Arial"/>
              </a:rPr>
              <a:t>SBP noncompliant secondary feedstock - 100%</a:t>
            </a:r>
          </a:p>
        </c:rich>
      </c:tx>
      <c:overlay val="0"/>
    </c:title>
    <c:autoTitleDeleted val="0"/>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SBP-соответствующее вторичное сырье - 100%</c:v>
                </c:pt>
              </c:strCache>
            </c:strRef>
          </c:tx>
          <c:spPr>
            <a:solidFill>
              <a:srgbClr val="d9e8e1"/>
            </a:solidFill>
            <a:ln>
              <a:noFill/>
            </a:ln>
          </c:spPr>
          <c:explosion val="0"/>
          <c:dPt>
            <c:idx val="0"/>
            <c:spPr>
              <a:solidFill>
                <a:srgbClr val="6b9c30"/>
              </a:solidFill>
              <a:ln w="25560">
                <a:solidFill>
                  <a:srgbClr val="ffffff"/>
                </a:solidFill>
                <a:round/>
              </a:ln>
            </c:spPr>
          </c:dPt>
          <c:dLbls>
            <c:dLbl>
              <c:idx val="0"/>
              <c:dLblPos val="bestFit"/>
              <c:showLegendKey val="0"/>
              <c:showVal val="0"/>
              <c:showCatName val="0"/>
              <c:showSerName val="0"/>
              <c:showPercent val="0"/>
            </c:dLbl>
            <c:dLblPos val="bestFit"/>
            <c:showLegendKey val="0"/>
            <c:showVal val="0"/>
            <c:showCatName val="0"/>
            <c:showSerName val="0"/>
            <c:showPercent val="0"/>
            <c:showLeaderLines val="0"/>
          </c:dLbls>
          <c:cat>
            <c:strRef>
              <c:f>categories</c:f>
              <c:strCache>
                <c:ptCount val="1"/>
                <c:pt idx="0">
                  <c:v>1</c:v>
                </c:pt>
              </c:strCache>
            </c:strRef>
          </c:cat>
          <c:val>
            <c:numRef>
              <c:f>0</c:f>
              <c:numCache>
                <c:formatCode>General</c:formatCode>
                <c:ptCount val="1"/>
                <c:pt idx="0">
                  <c:v>1</c:v>
                </c:pt>
              </c:numCache>
            </c:numRef>
          </c:val>
        </c:ser>
      </c:pie3DChart>
      <c:spPr>
        <a:solidFill>
          <a:srgbClr val="d9d9d9"/>
        </a:solidFill>
        <a:ln>
          <a:noFill/>
        </a:ln>
      </c:spPr>
    </c:plotArea>
    <c:plotVisOnly val="1"/>
    <c:dispBlanksAs val="gap"/>
  </c:chart>
  <c:spPr>
    <a:solidFill>
      <a:srgbClr val="ffffff"/>
    </a:solidFill>
    <a:ln w="9360">
      <a:noFill/>
    </a:ln>
  </c:spPr>
</c:chartSpace>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17FF8-2100-114F-82D5-2E8BB3EA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81</TotalTime>
  <Application>LibreOffice/5.4.1.2$Windows_x86 LibreOffice_project/ea7cb86e6eeb2bf3a5af73a8f7777ac570321527</Application>
  <Pages>20</Pages>
  <Words>2103</Words>
  <Characters>11188</Characters>
  <CharactersWithSpaces>13115</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2019-01-14T12:39:00Z</dcterms:created>
  <dc:creator>Jon Hurley</dc:creator>
  <dc:description/>
  <dc:language>ru-RU</dc:language>
  <cp:lastModifiedBy/>
  <cp:lastPrinted>2019-03-02T23:10:00Z</cp:lastPrinted>
  <dcterms:modified xsi:type="dcterms:W3CDTF">2020-03-18T16:02:53Z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