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64" w:rsidRDefault="009F5DAA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Утверждена</w:t>
      </w:r>
    </w:p>
    <w:p w:rsidR="00E15D5C" w:rsidRDefault="00E15D5C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5B19CE">
        <w:rPr>
          <w:rFonts w:ascii="Times New Roman" w:eastAsia="Times New Roman" w:hAnsi="Times New Roman" w:cs="Times New Roman"/>
        </w:rPr>
        <w:t>остановлением</w:t>
      </w:r>
      <w:r>
        <w:rPr>
          <w:rFonts w:ascii="Times New Roman" w:eastAsia="Times New Roman" w:hAnsi="Times New Roman" w:cs="Times New Roman"/>
        </w:rPr>
        <w:t xml:space="preserve"> </w:t>
      </w:r>
      <w:r w:rsidR="00544A2C" w:rsidRPr="00F95758">
        <w:rPr>
          <w:rFonts w:ascii="Times New Roman" w:eastAsia="Times New Roman" w:hAnsi="Times New Roman" w:cs="Times New Roman"/>
        </w:rPr>
        <w:t>адми</w:t>
      </w:r>
      <w:r w:rsidR="005B19CE">
        <w:rPr>
          <w:rFonts w:ascii="Times New Roman" w:eastAsia="Times New Roman" w:hAnsi="Times New Roman" w:cs="Times New Roman"/>
        </w:rPr>
        <w:t>нистрации</w:t>
      </w:r>
    </w:p>
    <w:p w:rsidR="00270F1F" w:rsidRDefault="005B19CE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района</w:t>
      </w:r>
      <w:r w:rsidR="00544A2C" w:rsidRPr="00F95758">
        <w:rPr>
          <w:rFonts w:ascii="Times New Roman" w:eastAsia="Times New Roman" w:hAnsi="Times New Roman" w:cs="Times New Roman"/>
        </w:rPr>
        <w:t xml:space="preserve"> </w:t>
      </w:r>
    </w:p>
    <w:p w:rsidR="00C310D2" w:rsidRPr="00AB159D" w:rsidRDefault="00544A2C" w:rsidP="00270F1F">
      <w:pPr>
        <w:spacing w:after="0"/>
        <w:ind w:left="4820"/>
        <w:jc w:val="right"/>
        <w:rPr>
          <w:rFonts w:ascii="Calibri" w:eastAsia="Times New Roman" w:hAnsi="Calibri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от </w:t>
      </w:r>
      <w:r w:rsidR="00E15D5C">
        <w:rPr>
          <w:rFonts w:ascii="Times New Roman" w:eastAsia="Times New Roman" w:hAnsi="Times New Roman" w:cs="Times New Roman"/>
        </w:rPr>
        <w:t xml:space="preserve">28.12.2016 </w:t>
      </w:r>
      <w:r w:rsidR="00441648">
        <w:rPr>
          <w:rFonts w:ascii="Times New Roman" w:eastAsia="Times New Roman" w:hAnsi="Times New Roman" w:cs="Times New Roman"/>
        </w:rPr>
        <w:t>№</w:t>
      </w:r>
      <w:r w:rsidR="00E15D5C">
        <w:rPr>
          <w:rFonts w:ascii="Times New Roman" w:eastAsia="Times New Roman" w:hAnsi="Times New Roman" w:cs="Times New Roman"/>
        </w:rPr>
        <w:t xml:space="preserve"> 468</w:t>
      </w: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2D20FD" w:rsidRPr="002D20FD" w:rsidRDefault="002D20F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20FD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«Весьегонский район» </w:t>
      </w:r>
    </w:p>
    <w:p w:rsidR="00C310D2" w:rsidRPr="00461B5D" w:rsidRDefault="00A3289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3289D">
        <w:rPr>
          <w:rFonts w:ascii="Times New Roman" w:eastAsia="Times New Roman" w:hAnsi="Times New Roman" w:cs="Times New Roman"/>
          <w:sz w:val="32"/>
          <w:szCs w:val="32"/>
        </w:rPr>
        <w:t>«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Развитие 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 xml:space="preserve">сельского хозяйства  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>Весьегонско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5B19CE">
        <w:rPr>
          <w:rFonts w:ascii="Times New Roman" w:eastAsia="Times New Roman" w:hAnsi="Times New Roman" w:cs="Times New Roman"/>
          <w:sz w:val="32"/>
          <w:szCs w:val="32"/>
        </w:rPr>
        <w:t xml:space="preserve"> Тверской области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>»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на 201</w:t>
      </w:r>
      <w:r w:rsidR="00270F1F">
        <w:rPr>
          <w:rFonts w:ascii="Times New Roman" w:eastAsia="Times New Roman" w:hAnsi="Times New Roman" w:cs="Times New Roman"/>
          <w:sz w:val="32"/>
          <w:szCs w:val="32"/>
        </w:rPr>
        <w:t>7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 - 201</w:t>
      </w:r>
      <w:r w:rsidR="00270F1F">
        <w:rPr>
          <w:rFonts w:ascii="Times New Roman" w:eastAsia="Times New Roman" w:hAnsi="Times New Roman" w:cs="Times New Roman"/>
          <w:sz w:val="32"/>
          <w:szCs w:val="32"/>
        </w:rPr>
        <w:t>9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D17396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20FD" w:rsidRPr="00C310D2" w:rsidRDefault="002D20FD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FA4" w:rsidRDefault="00755FA4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5D5C" w:rsidRDefault="00E15D5C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5D5C" w:rsidRDefault="00E15D5C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5D5C" w:rsidRDefault="00E15D5C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FA4" w:rsidRDefault="00755FA4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Pr="005B19CE" w:rsidRDefault="005B19CE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CE">
        <w:rPr>
          <w:rFonts w:ascii="Times New Roman" w:hAnsi="Times New Roman" w:cs="Times New Roman"/>
          <w:sz w:val="24"/>
          <w:szCs w:val="24"/>
        </w:rPr>
        <w:t>г</w:t>
      </w:r>
      <w:r w:rsidR="00C310D2" w:rsidRPr="005B19CE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CE">
        <w:rPr>
          <w:rFonts w:ascii="Times New Roman" w:hAnsi="Times New Roman" w:cs="Times New Roman"/>
          <w:sz w:val="24"/>
          <w:szCs w:val="24"/>
        </w:rPr>
        <w:t>201</w:t>
      </w:r>
      <w:r w:rsidR="00AF06CC">
        <w:rPr>
          <w:rFonts w:ascii="Times New Roman" w:hAnsi="Times New Roman" w:cs="Times New Roman"/>
          <w:sz w:val="24"/>
          <w:szCs w:val="24"/>
        </w:rPr>
        <w:t>7</w:t>
      </w:r>
      <w:r w:rsidRPr="005B19CE">
        <w:rPr>
          <w:rFonts w:ascii="Times New Roman" w:hAnsi="Times New Roman" w:cs="Times New Roman"/>
          <w:sz w:val="24"/>
          <w:szCs w:val="24"/>
        </w:rPr>
        <w:t xml:space="preserve"> г.</w:t>
      </w:r>
      <w:r w:rsidRPr="005B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F1F" w:rsidRDefault="00270F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310D2" w:rsidRPr="00304218" w:rsidRDefault="00C310D2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A266D5" w:rsidRPr="00304218" w:rsidRDefault="00A266D5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C310D2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="002D20FD" w:rsidRPr="0030421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Тверской области «Весьегонский район»</w:t>
      </w:r>
    </w:p>
    <w:p w:rsidR="00A3289D" w:rsidRPr="00304218" w:rsidRDefault="00A3289D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хозяйства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 Весьегонско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B19CE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Тверской области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310D2" w:rsidRPr="00304218" w:rsidRDefault="00D17396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270F1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</w:t>
      </w:r>
      <w:r w:rsidR="00270F1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2D20FD" w:rsidRPr="00304218" w:rsidRDefault="002D20FD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304218" w:rsidP="00270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сельского хозяйства в  Весьегонском районе Тверской области»</w:t>
            </w:r>
            <w:r w:rsid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270F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270F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3042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5B19CE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310D2" w:rsidRPr="00AB159D" w:rsidTr="00AD757E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0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270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C64399" w:rsidRDefault="00304218" w:rsidP="0030421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4399" w:rsidRPr="00C64399">
              <w:rPr>
                <w:rFonts w:ascii="Times New Roman" w:hAnsi="Times New Roman" w:cs="Times New Roman"/>
                <w:sz w:val="24"/>
                <w:szCs w:val="24"/>
              </w:rPr>
              <w:t>Улучшение и сохранение эпизоотического и ветеринарно-санитарного благополучия на территории Весьегонского района Тверской области</w:t>
            </w:r>
          </w:p>
        </w:tc>
      </w:tr>
      <w:tr w:rsidR="00C310D2" w:rsidRPr="00AB159D" w:rsidTr="00D17396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4E" w:rsidRPr="00AB159D" w:rsidRDefault="005B19CE" w:rsidP="00E45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4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A2C" w:rsidRPr="00A3289D">
              <w:rPr>
                <w:rFonts w:ascii="Times New Roman" w:hAnsi="Times New Roman" w:cs="Times New Roman"/>
                <w:sz w:val="24"/>
                <w:lang w:eastAsia="ar-SA"/>
              </w:rPr>
              <w:t>«</w:t>
            </w:r>
            <w:r w:rsidR="00A3289D">
              <w:rPr>
                <w:rFonts w:ascii="Times New Roman" w:hAnsi="Times New Roman" w:cs="Times New Roman"/>
                <w:sz w:val="24"/>
                <w:lang w:eastAsia="ar-SA"/>
              </w:rPr>
              <w:t>П</w:t>
            </w:r>
            <w:r w:rsidR="00E451EF">
              <w:rPr>
                <w:rFonts w:ascii="Times New Roman" w:hAnsi="Times New Roman" w:cs="Times New Roman"/>
                <w:sz w:val="24"/>
                <w:lang w:eastAsia="ar-SA"/>
              </w:rPr>
              <w:t>редупреждение особо опасных заболеваний на территории Весьегонского района</w:t>
            </w:r>
            <w:r w:rsidR="00787964" w:rsidRPr="00A3289D">
              <w:rPr>
                <w:rFonts w:ascii="Times New Roman" w:hAnsi="Times New Roman" w:cs="Times New Roman"/>
                <w:sz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</w:tc>
      </w:tr>
      <w:tr w:rsidR="00C310D2" w:rsidRPr="00AB159D" w:rsidTr="00AD757E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C64399" w:rsidRDefault="00C64399" w:rsidP="00C64399">
            <w:pPr>
              <w:tabs>
                <w:tab w:val="left" w:pos="72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случаев возникновения очагов </w:t>
            </w:r>
            <w:proofErr w:type="spellStart"/>
            <w:r w:rsidRPr="00C64399">
              <w:rPr>
                <w:rFonts w:ascii="Times New Roman" w:hAnsi="Times New Roman" w:cs="Times New Roman"/>
                <w:sz w:val="24"/>
                <w:szCs w:val="24"/>
              </w:rPr>
              <w:t>профилактируемых</w:t>
            </w:r>
            <w:proofErr w:type="spellEnd"/>
            <w:r w:rsidRPr="00C6439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среди  домашних животных</w:t>
            </w:r>
          </w:p>
        </w:tc>
      </w:tr>
      <w:tr w:rsidR="00C310D2" w:rsidRPr="00AB159D" w:rsidTr="00AD757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18" w:rsidRDefault="00C75546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304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304218">
              <w:rPr>
                <w:rFonts w:ascii="Times New Roman" w:hAnsi="Times New Roman" w:cs="Times New Roman"/>
                <w:sz w:val="24"/>
                <w:szCs w:val="24"/>
              </w:rPr>
              <w:t>планируется осуществлять за счет средств местного бюджета в следующих объемах:</w:t>
            </w:r>
          </w:p>
          <w:p w:rsidR="00461B5D" w:rsidRDefault="00270F1F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D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54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441648">
              <w:rPr>
                <w:rFonts w:ascii="Times New Roman" w:hAnsi="Times New Roman" w:cs="Times New Roman"/>
                <w:sz w:val="24"/>
                <w:szCs w:val="24"/>
              </w:rPr>
              <w:t>28 800,00</w:t>
            </w:r>
          </w:p>
          <w:p w:rsidR="00C75546" w:rsidRPr="00461B5D" w:rsidRDefault="00270F1F" w:rsidP="002D555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2D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– </w:t>
            </w:r>
            <w:r w:rsidR="0044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28 800,00</w:t>
            </w:r>
          </w:p>
          <w:p w:rsidR="00A266D5" w:rsidRPr="005A138A" w:rsidRDefault="00270F1F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2D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– </w:t>
            </w:r>
            <w:r w:rsidR="0044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28 800,00</w:t>
            </w:r>
          </w:p>
        </w:tc>
      </w:tr>
    </w:tbl>
    <w:p w:rsidR="002D20FD" w:rsidRDefault="002D20FD" w:rsidP="002D20FD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51EF" w:rsidRDefault="00E451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10D2" w:rsidRDefault="00304218" w:rsidP="002D5554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05742A" w:rsidRPr="00304218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04218" w:rsidRPr="00304218" w:rsidRDefault="00304218" w:rsidP="00304218">
      <w:pPr>
        <w:shd w:val="clear" w:color="auto" w:fill="FFFFFF"/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Общая характеристика сферы реализации муниципальной программы и прогноз ее развития</w:t>
      </w:r>
    </w:p>
    <w:p w:rsidR="00A3289D" w:rsidRPr="00B23530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Сельское хозяйство играет важную роль в экономике и социальной жизни района. Численность трудоспособного населения, проживающего в сельской местности, составляет 1,9 тысячи человек.  Занято в сельскохозяйственном производстве 465 человек, что составляет 7 % от общего количества трудоспособного населения района. </w:t>
      </w:r>
    </w:p>
    <w:p w:rsidR="00A3289D" w:rsidRPr="00B23530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Весьегонского района </w:t>
      </w:r>
      <w:r w:rsidR="00E94910">
        <w:rPr>
          <w:rFonts w:ascii="Times New Roman" w:eastAsia="Times New Roman" w:hAnsi="Times New Roman" w:cs="Times New Roman"/>
          <w:sz w:val="24"/>
          <w:szCs w:val="24"/>
        </w:rPr>
        <w:t>осуществляют производственную деятельность 9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F85F8A" w:rsidRPr="00B23530">
        <w:rPr>
          <w:rFonts w:ascii="Times New Roman" w:eastAsia="Times New Roman" w:hAnsi="Times New Roman" w:cs="Times New Roman"/>
          <w:sz w:val="24"/>
          <w:szCs w:val="24"/>
        </w:rPr>
        <w:t>скохозяйственных предприятий</w:t>
      </w:r>
      <w:r w:rsidR="00E949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Малый бизнес в агропромышленном комплексе представлен крестьянскими (фермерскими) хозяйствами, индивидуальными предпринимателями, личными подсобными хозяйствами</w:t>
      </w:r>
      <w:r w:rsidR="00270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В районе зарегистрировано </w:t>
      </w:r>
      <w:r w:rsidR="00C01F18" w:rsidRPr="00B235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49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КФХ и индивидуальных предпринимателей, </w:t>
      </w:r>
      <w:r w:rsidR="00C01F18" w:rsidRPr="00B23530">
        <w:rPr>
          <w:rFonts w:ascii="Times New Roman" w:eastAsia="Times New Roman" w:hAnsi="Times New Roman" w:cs="Times New Roman"/>
          <w:sz w:val="24"/>
          <w:szCs w:val="24"/>
        </w:rPr>
        <w:t>4233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личных подсобных хозяйства, которые занимаются выращиванием сельскохозяйственных культур, содержат скот (КРС, свиней, овец). За время проведения реформ малые формы хозяйствования стали неотъемлемой частью сельскохозяйственного производства.</w:t>
      </w:r>
    </w:p>
    <w:p w:rsidR="00E94910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>Ключевой отраслью сельского хозяйства района является животноводство. Большинство хозяйств, специализируется на молочно-мясном скотоводстве.</w:t>
      </w:r>
      <w:r w:rsidR="00A907F3" w:rsidRPr="00B2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910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4BA">
        <w:rPr>
          <w:rFonts w:ascii="Times New Roman" w:hAnsi="Times New Roman" w:cs="Times New Roman"/>
          <w:sz w:val="24"/>
          <w:szCs w:val="24"/>
        </w:rPr>
        <w:t>Главным направлением в сельскохозяйственных предприятиях  является производство молока. В 2015 году произведено 3914 тонн молока (84,0% к 2014 году). Снижение показателя обусловлено сокращением поголовья крупного рогатого скота. В связи со сменой руководства в ПСХК им. М. Горького в 2015 году полностью ликвидировано стадо крупного рогатого скота.</w:t>
      </w:r>
    </w:p>
    <w:p w:rsidR="00E94910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95">
        <w:rPr>
          <w:rFonts w:ascii="Times New Roman" w:hAnsi="Times New Roman" w:cs="Times New Roman"/>
          <w:sz w:val="24"/>
          <w:szCs w:val="24"/>
        </w:rPr>
        <w:t xml:space="preserve">В животноводстве в хозяйствах всех категорий поголовье крупного рогатого скота </w:t>
      </w: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E47F95">
        <w:rPr>
          <w:rFonts w:ascii="Times New Roman" w:hAnsi="Times New Roman" w:cs="Times New Roman"/>
          <w:sz w:val="24"/>
          <w:szCs w:val="24"/>
        </w:rPr>
        <w:t>состави</w:t>
      </w:r>
      <w:r>
        <w:rPr>
          <w:rFonts w:ascii="Times New Roman" w:hAnsi="Times New Roman" w:cs="Times New Roman"/>
          <w:sz w:val="24"/>
          <w:szCs w:val="24"/>
        </w:rPr>
        <w:t xml:space="preserve">т 2,65 тыс. голов (99,4%  к 2015 году). </w:t>
      </w:r>
      <w:r w:rsidRPr="00E47F95">
        <w:rPr>
          <w:rFonts w:ascii="Times New Roman" w:hAnsi="Times New Roman" w:cs="Times New Roman"/>
          <w:sz w:val="24"/>
          <w:szCs w:val="24"/>
        </w:rPr>
        <w:t>Поголов</w:t>
      </w:r>
      <w:r>
        <w:rPr>
          <w:rFonts w:ascii="Times New Roman" w:hAnsi="Times New Roman" w:cs="Times New Roman"/>
          <w:sz w:val="24"/>
          <w:szCs w:val="24"/>
        </w:rPr>
        <w:t>ье коров дойного стада составит 1,39 тыс. голов (99,4 % к 2015 году).</w:t>
      </w:r>
    </w:p>
    <w:p w:rsidR="00E94910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2017-2019 год запланирован рост поголовья овец и птицы в</w:t>
      </w:r>
      <w:r w:rsidRPr="00F4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крестьянско-фермерских хозяйствах, так как данный вид продукции востребован на рынке.</w:t>
      </w:r>
    </w:p>
    <w:p w:rsidR="00E94910" w:rsidRPr="00F448E3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2014 года ведет деятельность </w:t>
      </w:r>
      <w:r w:rsidRPr="00F44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крестьянско-фермерское хозяйство Евдокимова М. Д., направление – кролиководство. На 01.01.2016 года  поголовье кроликов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составило </w:t>
      </w:r>
      <w:r w:rsidRPr="00F44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 тыс. голов.  Реализация мяса в живом весе в 2015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44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5,6 тонн.</w:t>
      </w:r>
    </w:p>
    <w:p w:rsidR="00E94910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8D">
        <w:rPr>
          <w:rFonts w:ascii="Times New Roman" w:hAnsi="Times New Roman" w:cs="Times New Roman"/>
          <w:sz w:val="24"/>
          <w:szCs w:val="24"/>
        </w:rPr>
        <w:t>Валовое производство молока по району в 2016 году ожидается 4,86 тыс. тонн (99,9% к 2015 году)</w:t>
      </w:r>
      <w:r>
        <w:rPr>
          <w:rFonts w:ascii="Times New Roman" w:hAnsi="Times New Roman" w:cs="Times New Roman"/>
          <w:sz w:val="24"/>
          <w:szCs w:val="24"/>
        </w:rPr>
        <w:t>, в том числе по сельхозпредприятиям 3,9 тыс. тонн (100% к уровню  прошлого года).</w:t>
      </w:r>
    </w:p>
    <w:p w:rsidR="00E94910" w:rsidRPr="00E26506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06">
        <w:rPr>
          <w:rFonts w:ascii="Times New Roman" w:hAnsi="Times New Roman" w:cs="Times New Roman"/>
          <w:sz w:val="24"/>
          <w:szCs w:val="24"/>
        </w:rPr>
        <w:t>Продукция растениеводства представлена в районе  зерном и картофелем.</w:t>
      </w:r>
    </w:p>
    <w:p w:rsidR="00E94910" w:rsidRPr="00E26506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06">
        <w:rPr>
          <w:rFonts w:ascii="Times New Roman" w:hAnsi="Times New Roman" w:cs="Times New Roman"/>
          <w:sz w:val="24"/>
          <w:szCs w:val="24"/>
        </w:rPr>
        <w:t>Площадь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6506">
        <w:rPr>
          <w:rFonts w:ascii="Times New Roman" w:hAnsi="Times New Roman" w:cs="Times New Roman"/>
          <w:sz w:val="24"/>
          <w:szCs w:val="24"/>
        </w:rPr>
        <w:t xml:space="preserve"> зерновым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6506">
        <w:rPr>
          <w:rFonts w:ascii="Times New Roman" w:hAnsi="Times New Roman" w:cs="Times New Roman"/>
          <w:sz w:val="24"/>
          <w:szCs w:val="24"/>
        </w:rPr>
        <w:t xml:space="preserve">  в 2016 году составила 2894 га (+30 га к уровню 2015 года). Планируется получить зерна – 5,1 тыс. тонн (101,3%  к 2015 году). В среднем по району планируется урожайность 18 центнеров с 1 га. К 2019 году ожидается увеличение производства зерна в натуральном выражении на 225,8 тонн по сравнению с 2015 годом.</w:t>
      </w:r>
      <w:r>
        <w:rPr>
          <w:rFonts w:ascii="Times New Roman" w:hAnsi="Times New Roman" w:cs="Times New Roman"/>
          <w:sz w:val="24"/>
          <w:szCs w:val="24"/>
        </w:rPr>
        <w:t xml:space="preserve"> Увеличение валового сбора картофеля запланировано за счет повышения урожайности (внесение минеральных удобрений, применение средств защиты растений).</w:t>
      </w:r>
    </w:p>
    <w:p w:rsidR="00E94910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картофеля по району  за 2016 год планируется 4,1 тыс. тонн (101,2% к 2015 году), из них в сельскохозяйственных предприятиях 485,0 тонн.</w:t>
      </w:r>
    </w:p>
    <w:p w:rsidR="00E94910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финансовое состояние сельскохозяйственных предприятий стабильно сложное</w:t>
      </w:r>
      <w:r w:rsidRPr="00A442FF">
        <w:rPr>
          <w:rFonts w:ascii="Times New Roman" w:hAnsi="Times New Roman" w:cs="Times New Roman"/>
          <w:sz w:val="24"/>
          <w:szCs w:val="24"/>
        </w:rPr>
        <w:t xml:space="preserve">, хозяйства продолжают вести модернизацию производства, приобретают технику. </w:t>
      </w:r>
      <w:r>
        <w:rPr>
          <w:rFonts w:ascii="Times New Roman" w:hAnsi="Times New Roman" w:cs="Times New Roman"/>
          <w:sz w:val="24"/>
          <w:szCs w:val="24"/>
        </w:rPr>
        <w:t xml:space="preserve">Колхоз имени Чапаева приобрел сушилку для зерна стоимостью 5,9 млн. рублей, которая позволит увеличить производительность труда в 4 раза.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Грабле-ворошилки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приобрели колхоз им. Чапаева и СПК «Новый строй». </w:t>
      </w:r>
    </w:p>
    <w:p w:rsidR="00E94910" w:rsidRPr="00A442FF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910" w:rsidRPr="00700B47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47">
        <w:rPr>
          <w:rFonts w:ascii="Times New Roman" w:hAnsi="Times New Roman" w:cs="Times New Roman"/>
          <w:sz w:val="24"/>
          <w:szCs w:val="24"/>
        </w:rPr>
        <w:t xml:space="preserve">Бюджетная поддержка из федерального и областного бюджетов оказывалась </w:t>
      </w:r>
      <w:proofErr w:type="spellStart"/>
      <w:r w:rsidRPr="00700B47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700B47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E94910" w:rsidRPr="00700B47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47">
        <w:rPr>
          <w:rFonts w:ascii="Times New Roman" w:hAnsi="Times New Roman" w:cs="Times New Roman"/>
          <w:sz w:val="24"/>
          <w:szCs w:val="24"/>
        </w:rPr>
        <w:t>- элитное семеноводство</w:t>
      </w:r>
    </w:p>
    <w:p w:rsidR="00E94910" w:rsidRPr="00700B47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47">
        <w:rPr>
          <w:rFonts w:ascii="Times New Roman" w:hAnsi="Times New Roman" w:cs="Times New Roman"/>
          <w:sz w:val="24"/>
          <w:szCs w:val="24"/>
        </w:rPr>
        <w:t>- на 1 га сельскохозяйственных культур в области растениеводства</w:t>
      </w:r>
    </w:p>
    <w:p w:rsidR="00E94910" w:rsidRPr="00700B47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47">
        <w:rPr>
          <w:rFonts w:ascii="Times New Roman" w:hAnsi="Times New Roman" w:cs="Times New Roman"/>
          <w:sz w:val="24"/>
          <w:szCs w:val="24"/>
        </w:rPr>
        <w:lastRenderedPageBreak/>
        <w:t>- на приобретение машиностроительной продукции;</w:t>
      </w:r>
    </w:p>
    <w:p w:rsidR="00E94910" w:rsidRPr="00700B47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47">
        <w:rPr>
          <w:rFonts w:ascii="Times New Roman" w:hAnsi="Times New Roman" w:cs="Times New Roman"/>
          <w:sz w:val="24"/>
          <w:szCs w:val="24"/>
        </w:rPr>
        <w:t>- на реализованное молоко;</w:t>
      </w:r>
    </w:p>
    <w:p w:rsidR="00E94910" w:rsidRPr="00700B47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47">
        <w:rPr>
          <w:rFonts w:ascii="Times New Roman" w:hAnsi="Times New Roman" w:cs="Times New Roman"/>
          <w:sz w:val="24"/>
          <w:szCs w:val="24"/>
        </w:rPr>
        <w:t>- молочное животноводство;</w:t>
      </w:r>
    </w:p>
    <w:p w:rsidR="00E94910" w:rsidRPr="00700B47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47">
        <w:rPr>
          <w:rFonts w:ascii="Times New Roman" w:hAnsi="Times New Roman" w:cs="Times New Roman"/>
          <w:sz w:val="24"/>
          <w:szCs w:val="24"/>
        </w:rPr>
        <w:t>- на возмещение части процентной ставки по краткосрочным и инвестиционным кредитам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910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47">
        <w:rPr>
          <w:rFonts w:ascii="Times New Roman" w:hAnsi="Times New Roman" w:cs="Times New Roman"/>
          <w:sz w:val="24"/>
          <w:szCs w:val="24"/>
        </w:rPr>
        <w:t>В 2015 году получено 9,27 млн. рублей, что составило 105% к уровню 2014 года.</w:t>
      </w:r>
      <w:r>
        <w:rPr>
          <w:rFonts w:ascii="Times New Roman" w:hAnsi="Times New Roman" w:cs="Times New Roman"/>
          <w:sz w:val="24"/>
          <w:szCs w:val="24"/>
        </w:rPr>
        <w:t xml:space="preserve"> За 9 месяцев 2016 года сельхозпредприятиями и крестьянско-фермерскими хозяйствами  получено из областного бюджета 1,91 млн. рублей, из федерального бюджета 6,27 млн. рублей.</w:t>
      </w:r>
    </w:p>
    <w:p w:rsidR="00A3289D" w:rsidRPr="00B23530" w:rsidRDefault="00A3289D" w:rsidP="0030421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>Несмотря на некоторые успехи в развитии агропромышленного комплекса, положение, сложившееся в аграрном секторе района</w:t>
      </w:r>
      <w:r w:rsidR="00243D30" w:rsidRPr="00B235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нельзя назвать стабильным.  </w:t>
      </w:r>
    </w:p>
    <w:p w:rsidR="00A3289D" w:rsidRPr="00B23530" w:rsidRDefault="00A3289D" w:rsidP="0030421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В  сельскохозяйственных  предприятиях  остается  острым   кадровый  вопрос. Обеспеченность   колхозов и СПК  района  специалистами  составляет 90 %. В последние  годы  значительно  сократился  объем  вносимых   органических  и минеральных  удобрений. Более 15 лет не проводится известкование почв. Проблема  деградации  почвенного  плодородия   становится  очень  актуальной. </w:t>
      </w:r>
    </w:p>
    <w:p w:rsidR="00A3289D" w:rsidRPr="00B23530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Машинно-тракторный  парк  в  хозяйствах  района  продолжает  сокращаться, общий износ оценивается в 90 %.  Из-за нехватки денежных средств, крайне низкими темпами осуществляется обновление техники и оборудования.   </w:t>
      </w:r>
    </w:p>
    <w:p w:rsidR="00A3289D" w:rsidRPr="00B23530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Объем производства продукции сельского хозяйства в сопоставимых ценах  по сельскохозяйственным организациям в </w:t>
      </w:r>
      <w:r w:rsidR="00A907F3" w:rsidRPr="00B2353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уменьш</w:t>
      </w:r>
      <w:r w:rsidR="00A907F3" w:rsidRPr="00B23530">
        <w:rPr>
          <w:rFonts w:ascii="Times New Roman" w:eastAsia="Times New Roman" w:hAnsi="Times New Roman" w:cs="Times New Roman"/>
          <w:sz w:val="24"/>
          <w:szCs w:val="24"/>
        </w:rPr>
        <w:t>ается в среднем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на 3 %. </w:t>
      </w:r>
    </w:p>
    <w:p w:rsidR="00B23530" w:rsidRPr="00B23530" w:rsidRDefault="00B23530" w:rsidP="00B23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 xml:space="preserve">Эпизоотическое и ветеринарно-санитарное благополучие региона осуществляется ветеринарной службой Тверской области путем проведения  комплекса мер по обеспечению противоэпизоотических мероприятий на территории Тверской области. Система ветеринарной службы Тверской области включает в себя государственную и ведомственную ветеринарные службы. Обеспечение эпизоотического благополучия Тверской области осуществляется в соответствии с разработанным Главным управлением ежегодным Планом противоэпизоотических мероприятий Тверской области, включающим в себя проведение диагностических исследований, вакцинации, дезинфекции, дезинсекции, дератизации и других ветеринарно-санитарных мероприятий. </w:t>
      </w:r>
      <w:proofErr w:type="gramStart"/>
      <w:r w:rsidRPr="00B23530">
        <w:rPr>
          <w:rFonts w:ascii="Times New Roman" w:hAnsi="Times New Roman" w:cs="Times New Roman"/>
          <w:sz w:val="24"/>
          <w:szCs w:val="24"/>
        </w:rPr>
        <w:t>Обеспечение безопасности и качества продовольственного сырья животного и растительного происхождения в ветеринарно-санитарном отношении на территории Тверской области заключается в осуществлении комплекса мероприятий по проведению ветеринарно-санитарной экспертизы, осмотру животноводческой и другой продукции, надзору при производстве, переработке, хранении, транспортировке и реализации продовольственного сырья и продуктов животного и растительного происхождения с последующим оформлением и выдачей ветеринарных сопроводительных документов, систематизации и анализа заболеваний животных.</w:t>
      </w:r>
      <w:proofErr w:type="gramEnd"/>
    </w:p>
    <w:p w:rsidR="00B23530" w:rsidRPr="00B23530" w:rsidRDefault="00B23530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530" w:rsidRPr="00B23530" w:rsidRDefault="00B23530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7E" w:rsidRPr="00B5415B" w:rsidRDefault="00304218" w:rsidP="00304218">
      <w:pPr>
        <w:pStyle w:val="ConsPlusTitle"/>
        <w:spacing w:after="24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AD757E" w:rsidRPr="00B5415B">
        <w:rPr>
          <w:rFonts w:ascii="Times New Roman" w:hAnsi="Times New Roman" w:cs="Times New Roman"/>
          <w:sz w:val="24"/>
          <w:szCs w:val="24"/>
        </w:rPr>
        <w:t xml:space="preserve"> Перечень основных проблем в сфере реализации муниципальной программы.</w:t>
      </w:r>
    </w:p>
    <w:p w:rsidR="00C01F18" w:rsidRDefault="00B23530" w:rsidP="00304218">
      <w:pPr>
        <w:pStyle w:val="22"/>
        <w:ind w:firstLine="502"/>
        <w:rPr>
          <w:sz w:val="24"/>
        </w:rPr>
      </w:pPr>
      <w:r>
        <w:rPr>
          <w:sz w:val="24"/>
        </w:rPr>
        <w:t>Г</w:t>
      </w:r>
      <w:r w:rsidR="00C01F18" w:rsidRPr="00B23530">
        <w:rPr>
          <w:sz w:val="24"/>
        </w:rPr>
        <w:t xml:space="preserve">лобальное ухудшение эпизоотической ситуации. </w:t>
      </w:r>
    </w:p>
    <w:p w:rsidR="00C01F18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Большинство инфекционных болезней имеют строго выраженную цикличность. На начало 21 века прогнозируется пики активизации инфекционного процесса по большинству карантинных и особо опасных  болезней, многие из которых свойственны как домашним, так и диким животным (бешенство, сибирская язва, классическая  чума свиней, АЧС, болезнь Ньюкасла и др.).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Неуправляемость эпизоотическим процессом в дикой природе, миграция животных, природно-очаговый фактор создают предпосылки возникновения инфекции. Например, большинство случаев заболевания бешенством приходится на диких животных, основными переносчиками АЧС являются дикие кабаны, гриппа птиц – дикие перелётные птицы.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lastRenderedPageBreak/>
        <w:t>Рост импорта в Российскую Федерацию скота, племенного материала, продукции животноводства, кормов и кормовых добавок увеличивает риск заноса нетипичных инфекционных заболеваний в регион.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 xml:space="preserve">Нарушение ветеринарно-санитарных требований при заготовке, переработке, хранении и реализации продукции со стороны поставщиков создает предпосылки для снижения качества продукции. 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Осуществление несанкционированной торговли продукцией животного происхождения создает угрозу здоровью человека.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Низкий уровень состояния материально-технической базы, необходимость проведения технической и технологической модернизации, реконструкции  государственных учреждений ветеринарии Тверской области.</w:t>
      </w:r>
    </w:p>
    <w:p w:rsidR="00C01F18" w:rsidRPr="00B23530" w:rsidRDefault="00C01F18" w:rsidP="00B23530">
      <w:pPr>
        <w:pStyle w:val="22"/>
        <w:ind w:left="502"/>
        <w:rPr>
          <w:sz w:val="24"/>
        </w:rPr>
      </w:pPr>
      <w:r w:rsidRPr="00B23530">
        <w:rPr>
          <w:sz w:val="24"/>
        </w:rPr>
        <w:t>Дефицит квалифицированных ветеринарных и лабораторных специалистов.</w:t>
      </w:r>
    </w:p>
    <w:p w:rsidR="0005742A" w:rsidRDefault="00304218" w:rsidP="002D5554">
      <w:pPr>
        <w:pStyle w:val="ConsPlusNormal"/>
        <w:widowControl/>
        <w:spacing w:before="240"/>
        <w:ind w:left="50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304218" w:rsidRPr="00304218" w:rsidRDefault="00304218" w:rsidP="00304218">
      <w:pPr>
        <w:pStyle w:val="ConsPlusNormal"/>
        <w:widowControl/>
        <w:spacing w:before="240"/>
        <w:ind w:left="502" w:firstLine="0"/>
        <w:rPr>
          <w:rFonts w:ascii="Times New Roman" w:hAnsi="Times New Roman" w:cs="Times New Roman"/>
          <w:b/>
          <w:sz w:val="24"/>
          <w:szCs w:val="24"/>
        </w:rPr>
      </w:pPr>
      <w:r w:rsidRPr="00304218">
        <w:rPr>
          <w:rFonts w:ascii="Times New Roman" w:hAnsi="Times New Roman" w:cs="Times New Roman"/>
          <w:b/>
          <w:sz w:val="24"/>
          <w:szCs w:val="24"/>
        </w:rPr>
        <w:t>2.1  Перечень целей муниципальной программы</w:t>
      </w:r>
    </w:p>
    <w:p w:rsidR="00C64399" w:rsidRPr="00B23530" w:rsidRDefault="00C64399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A5214">
        <w:rPr>
          <w:rFonts w:ascii="Times New Roman" w:hAnsi="Times New Roman" w:cs="Times New Roman"/>
          <w:sz w:val="24"/>
          <w:szCs w:val="24"/>
        </w:rPr>
        <w:t>муниципальной</w:t>
      </w:r>
      <w:r w:rsidRPr="00B23530">
        <w:rPr>
          <w:rFonts w:ascii="Times New Roman" w:hAnsi="Times New Roman" w:cs="Times New Roman"/>
          <w:sz w:val="24"/>
          <w:szCs w:val="24"/>
        </w:rPr>
        <w:t xml:space="preserve"> программы на период до 201</w:t>
      </w:r>
      <w:r w:rsidR="00270F1F">
        <w:rPr>
          <w:rFonts w:ascii="Times New Roman" w:hAnsi="Times New Roman" w:cs="Times New Roman"/>
          <w:sz w:val="24"/>
          <w:szCs w:val="24"/>
        </w:rPr>
        <w:t>9</w:t>
      </w:r>
      <w:r w:rsidRPr="00B23530">
        <w:rPr>
          <w:rFonts w:ascii="Times New Roman" w:hAnsi="Times New Roman" w:cs="Times New Roman"/>
          <w:sz w:val="24"/>
          <w:szCs w:val="24"/>
        </w:rPr>
        <w:t xml:space="preserve"> года является улучшение и сохранение эпизоотического и ветеринарно-санитарного благополучия на территории Тверской области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3C3" w:rsidRPr="006A5214" w:rsidRDefault="006A5214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214">
        <w:rPr>
          <w:rFonts w:ascii="Times New Roman" w:eastAsia="Times New Roman" w:hAnsi="Times New Roman" w:cs="Times New Roman"/>
          <w:b/>
          <w:sz w:val="24"/>
          <w:szCs w:val="24"/>
        </w:rPr>
        <w:t>2.2 Пе</w:t>
      </w:r>
      <w:r w:rsidR="004F53C3" w:rsidRPr="006A5214">
        <w:rPr>
          <w:rFonts w:ascii="Times New Roman" w:eastAsia="Times New Roman" w:hAnsi="Times New Roman" w:cs="Times New Roman"/>
          <w:b/>
          <w:sz w:val="24"/>
          <w:szCs w:val="24"/>
        </w:rPr>
        <w:t>речень показателей, характеризующих достижение цели муниципальной программы</w:t>
      </w:r>
    </w:p>
    <w:p w:rsidR="00C64399" w:rsidRPr="00B23530" w:rsidRDefault="00C64399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53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случаев возникновения очагов </w:t>
      </w:r>
      <w:proofErr w:type="spellStart"/>
      <w:r w:rsidRPr="00B23530">
        <w:rPr>
          <w:rFonts w:ascii="Times New Roman" w:hAnsi="Times New Roman" w:cs="Times New Roman"/>
          <w:color w:val="000000"/>
          <w:sz w:val="24"/>
          <w:szCs w:val="24"/>
        </w:rPr>
        <w:t>профилактируемых</w:t>
      </w:r>
      <w:proofErr w:type="spellEnd"/>
      <w:r w:rsidRPr="00B23530">
        <w:rPr>
          <w:rFonts w:ascii="Times New Roman" w:hAnsi="Times New Roman" w:cs="Times New Roman"/>
          <w:color w:val="000000"/>
          <w:sz w:val="24"/>
          <w:szCs w:val="24"/>
        </w:rPr>
        <w:t xml:space="preserve"> инфекций  среди домашних, в том числе сельскохозяйственных животных;</w:t>
      </w:r>
    </w:p>
    <w:p w:rsidR="00C64399" w:rsidRPr="00B23530" w:rsidRDefault="00C64399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530">
        <w:rPr>
          <w:rFonts w:ascii="Times New Roman" w:hAnsi="Times New Roman" w:cs="Times New Roman"/>
          <w:color w:val="000000"/>
          <w:sz w:val="24"/>
          <w:szCs w:val="24"/>
        </w:rPr>
        <w:t>степень ликвидации очагов особо опасных заболеваний животных в отчетном периоде.</w:t>
      </w:r>
    </w:p>
    <w:p w:rsidR="00EE7C49" w:rsidRDefault="00EE7C49" w:rsidP="006A5214">
      <w:pPr>
        <w:pStyle w:val="ConsPlusNormal"/>
        <w:widowControl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6A5214" w:rsidRPr="00B23530" w:rsidRDefault="006A5214" w:rsidP="006A5214">
      <w:pPr>
        <w:pStyle w:val="ConsPlusNormal"/>
        <w:widowControl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E7C49" w:rsidRPr="00625B36" w:rsidRDefault="00625B36" w:rsidP="002D5554">
      <w:pPr>
        <w:ind w:firstLine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 </w:t>
      </w:r>
      <w:r w:rsidR="006A5214" w:rsidRPr="00625B36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B447C8" w:rsidRDefault="00EE7C49" w:rsidP="00C64399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99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  <w:r w:rsidRPr="00C643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4C1A" w:rsidRPr="00C64399">
        <w:rPr>
          <w:rFonts w:ascii="Times New Roman" w:hAnsi="Times New Roman" w:cs="Times New Roman"/>
          <w:b/>
          <w:sz w:val="24"/>
          <w:lang w:eastAsia="ar-SA"/>
        </w:rPr>
        <w:t>Предупреждение особо опасных заболеваний на территории Весьегонского района</w:t>
      </w:r>
      <w:r w:rsidR="00B447C8" w:rsidRPr="00C64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952" w:rsidRDefault="002D0952" w:rsidP="00C64399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>Реализация подпрограммы 1 «Предупреждение особо опасных заболеваний  животных  на территории Весьегонского района» направлена на</w:t>
      </w:r>
      <w:r w:rsidRPr="00B235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23530">
        <w:rPr>
          <w:rFonts w:ascii="Times New Roman" w:hAnsi="Times New Roman" w:cs="Times New Roman"/>
          <w:sz w:val="24"/>
          <w:szCs w:val="24"/>
        </w:rPr>
        <w:t xml:space="preserve">предупреждение особо опасных болезней животных, </w:t>
      </w:r>
      <w:r w:rsidRPr="00B23530">
        <w:rPr>
          <w:rFonts w:ascii="Times New Roman" w:hAnsi="Times New Roman" w:cs="Times New Roman"/>
          <w:color w:val="000000"/>
          <w:sz w:val="24"/>
          <w:szCs w:val="24"/>
        </w:rPr>
        <w:t>снижение заболеваемости животных бешенством,</w:t>
      </w:r>
      <w:r w:rsidRPr="00B23530">
        <w:rPr>
          <w:rFonts w:ascii="Times New Roman" w:hAnsi="Times New Roman" w:cs="Times New Roman"/>
          <w:sz w:val="24"/>
          <w:szCs w:val="24"/>
        </w:rPr>
        <w:t xml:space="preserve"> защиту населения от болезней, общих для человека и животных</w:t>
      </w:r>
    </w:p>
    <w:p w:rsidR="002D5554" w:rsidRPr="00B23530" w:rsidRDefault="002D5554" w:rsidP="00C64399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49" w:rsidRPr="00545C9C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545C9C">
        <w:rPr>
          <w:rFonts w:ascii="Times New Roman" w:hAnsi="Times New Roman" w:cs="Times New Roman"/>
          <w:b/>
          <w:sz w:val="24"/>
          <w:szCs w:val="24"/>
        </w:rPr>
        <w:t>1. Задачи подпрограммы</w:t>
      </w:r>
    </w:p>
    <w:p w:rsidR="00EE7C49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="00E54C1A" w:rsidRPr="00545C9C">
        <w:rPr>
          <w:rFonts w:ascii="Times New Roman" w:hAnsi="Times New Roman" w:cs="Times New Roman"/>
          <w:bCs/>
          <w:sz w:val="24"/>
          <w:szCs w:val="24"/>
        </w:rPr>
        <w:t>Снижение риска заболевания бешенством на территории Весьегонского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9C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>
        <w:rPr>
          <w:rFonts w:ascii="Times New Roman" w:hAnsi="Times New Roman" w:cs="Times New Roman"/>
          <w:bCs/>
          <w:sz w:val="24"/>
          <w:szCs w:val="24"/>
        </w:rPr>
        <w:t>Информирование населения о санитарно</w:t>
      </w:r>
      <w:r w:rsidRPr="00545C9C">
        <w:rPr>
          <w:rFonts w:ascii="Times New Roman" w:hAnsi="Times New Roman" w:cs="Times New Roman"/>
          <w:bCs/>
          <w:sz w:val="24"/>
          <w:szCs w:val="24"/>
        </w:rPr>
        <w:t>-эпидемиологической обстановке и о принимаемых мерах 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091E" w:rsidRDefault="00F5091E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C9C" w:rsidRPr="00545C9C" w:rsidRDefault="00545C9C" w:rsidP="00545C9C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9C">
        <w:rPr>
          <w:rFonts w:ascii="Times New Roman" w:hAnsi="Times New Roman" w:cs="Times New Roman"/>
          <w:b/>
          <w:bCs/>
          <w:sz w:val="24"/>
          <w:szCs w:val="24"/>
        </w:rPr>
        <w:t>2. Показатели, характеризующие решение каждой задачи подпрограммы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Количество с</w:t>
      </w:r>
      <w:r w:rsidRPr="00545C9C">
        <w:rPr>
          <w:rFonts w:ascii="Times New Roman" w:hAnsi="Times New Roman" w:cs="Times New Roman"/>
          <w:bCs/>
          <w:sz w:val="24"/>
          <w:szCs w:val="24"/>
        </w:rPr>
        <w:t>лучаев заболевания бешенством среди сельскохозяйственных животных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 информационных материалов, ежегодно размещенных  в средствах массовой  информации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545C9C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proofErr w:type="spellStart"/>
      <w:r w:rsidRPr="00545C9C">
        <w:rPr>
          <w:rFonts w:ascii="Times New Roman" w:hAnsi="Times New Roman" w:cs="Times New Roman"/>
          <w:bCs/>
          <w:sz w:val="24"/>
          <w:szCs w:val="24"/>
        </w:rPr>
        <w:t>провакцинированных</w:t>
      </w:r>
      <w:proofErr w:type="spellEnd"/>
      <w:r w:rsidRPr="00545C9C">
        <w:rPr>
          <w:rFonts w:ascii="Times New Roman" w:hAnsi="Times New Roman" w:cs="Times New Roman"/>
          <w:bCs/>
          <w:sz w:val="24"/>
          <w:szCs w:val="24"/>
        </w:rPr>
        <w:t xml:space="preserve"> домашних и сельскохозяйственных животных против бешенства  животных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отловленных  животных, подозрительных на заболевание бешенством животных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2.5.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ежегодных  проведенных межведомственных совещаний, заседаний, конференций, семинаров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безнадзорных животных ежегодно подлежащих отлову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Pr="00545C9C">
        <w:rPr>
          <w:rFonts w:ascii="Times New Roman" w:hAnsi="Times New Roman" w:cs="Times New Roman"/>
          <w:bCs/>
          <w:sz w:val="24"/>
          <w:szCs w:val="24"/>
        </w:rPr>
        <w:t>Наличие доклада о санитарно-эпидемиологической обстановке в Весьегонском районе</w:t>
      </w:r>
    </w:p>
    <w:p w:rsidR="00545C9C" w:rsidRDefault="005D0AF2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Pr="005D0AF2">
        <w:rPr>
          <w:rFonts w:ascii="Times New Roman" w:hAnsi="Times New Roman" w:cs="Times New Roman"/>
          <w:bCs/>
          <w:sz w:val="24"/>
          <w:szCs w:val="24"/>
        </w:rPr>
        <w:t>Наличие информационных писем по оценке влияния факторов среды обитания на здоровье населения  Весьегонского района</w:t>
      </w:r>
    </w:p>
    <w:p w:rsidR="005D0AF2" w:rsidRDefault="005D0AF2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2.9. </w:t>
      </w:r>
      <w:r w:rsidRPr="005D0AF2">
        <w:rPr>
          <w:rFonts w:ascii="Times New Roman" w:hAnsi="Times New Roman" w:cs="Times New Roman"/>
          <w:bCs/>
          <w:sz w:val="24"/>
          <w:szCs w:val="24"/>
        </w:rPr>
        <w:t>Наличие информационных писем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AF2">
        <w:rPr>
          <w:rFonts w:ascii="Times New Roman" w:hAnsi="Times New Roman" w:cs="Times New Roman"/>
          <w:bCs/>
          <w:sz w:val="24"/>
          <w:szCs w:val="24"/>
        </w:rPr>
        <w:t>возникновении или угрозе заразных болезней животных, в том числе общих для человека и животных, массовых незаразных болезней животных и проводимых противоэпизоотических (профилактических) мероприятиях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0AF2" w:rsidRDefault="005D0AF2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5D0AF2" w:rsidRDefault="005D0AF2" w:rsidP="005D0AF2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A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55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0AF2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мероприятий программы</w:t>
      </w:r>
    </w:p>
    <w:p w:rsidR="00545C9C" w:rsidRDefault="00545C9C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D0AF2">
        <w:rPr>
          <w:rFonts w:ascii="Times New Roman" w:hAnsi="Times New Roman" w:cs="Times New Roman"/>
          <w:bCs/>
          <w:sz w:val="24"/>
          <w:szCs w:val="24"/>
        </w:rPr>
        <w:t xml:space="preserve"> Профилактика заболевания бешенством среди сельскохозяйственных животных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1.2 Разработка и размещение информационных материалов в средствах массовой информации  по вопросам профилактики  бешенства животных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1.3   Материально-техническое оснащение мероприятий по профилактике и ликвидации  бешенства животных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1.4 Проведение мероприятий  межведомственного взаимодействия, направленных на совершенствование  работы по профилактике и ликвидации бешенства животных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1.5 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2.1  Регулярное информирование населения, в том числе через средства массовой информации, о санитарно-эпидемиологической обстановке на территории Весьегонского района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554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 2.2 Информирование населения о возникновении или угрозе заразных болезней животных, в том числе общих для человека и животных, массовых незаразных болезней животных и проводимых противоэпизоотических (профилактических) мероприятиях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54" w:rsidRDefault="002D5554" w:rsidP="002D5554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5554">
        <w:rPr>
          <w:rFonts w:ascii="Times New Roman" w:hAnsi="Times New Roman" w:cs="Times New Roman"/>
          <w:b/>
          <w:bCs/>
          <w:sz w:val="24"/>
          <w:szCs w:val="24"/>
        </w:rPr>
        <w:t>4. Объем</w:t>
      </w:r>
      <w:r w:rsidRPr="00B23530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финансовых ресурсов, необходимый для реализации подпрограммы</w:t>
      </w:r>
    </w:p>
    <w:p w:rsidR="005D0AF2" w:rsidRPr="00545C9C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28C" w:rsidRPr="00370C22" w:rsidRDefault="009B628C" w:rsidP="00B235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530">
        <w:rPr>
          <w:rFonts w:ascii="Times New Roman" w:hAnsi="Times New Roman" w:cs="Times New Roman"/>
          <w:b/>
          <w:bCs/>
          <w:sz w:val="24"/>
          <w:szCs w:val="24"/>
        </w:rPr>
        <w:t>Глава 3.</w:t>
      </w:r>
      <w:r w:rsidR="00B23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530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628C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AF06CC">
        <w:rPr>
          <w:rFonts w:ascii="Times New Roman" w:hAnsi="Times New Roman" w:cs="Times New Roman"/>
          <w:bCs/>
          <w:sz w:val="24"/>
          <w:szCs w:val="24"/>
        </w:rPr>
        <w:t>86400 (восемьдесят шесть тысяч четыреста)</w:t>
      </w:r>
      <w:r w:rsidRPr="009D6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554">
        <w:rPr>
          <w:rFonts w:ascii="Times New Roman" w:hAnsi="Times New Roman" w:cs="Times New Roman"/>
          <w:bCs/>
          <w:sz w:val="24"/>
          <w:szCs w:val="24"/>
        </w:rPr>
        <w:t>рублей.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D5554" w:rsidTr="002D5554">
        <w:tc>
          <w:tcPr>
            <w:tcW w:w="1914" w:type="dxa"/>
          </w:tcPr>
          <w:p w:rsidR="002D5554" w:rsidRDefault="002D5554" w:rsidP="009B62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D5554" w:rsidRPr="002D5554" w:rsidRDefault="002D5554" w:rsidP="00F50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5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D5554" w:rsidRPr="002D5554" w:rsidRDefault="002D5554" w:rsidP="00F50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5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D5554" w:rsidRPr="002D5554" w:rsidRDefault="002D5554" w:rsidP="00F50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5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2D5554" w:rsidRPr="002D5554" w:rsidRDefault="002D5554" w:rsidP="002D5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5091E" w:rsidTr="002D5554">
        <w:tc>
          <w:tcPr>
            <w:tcW w:w="1914" w:type="dxa"/>
          </w:tcPr>
          <w:p w:rsidR="00F5091E" w:rsidRDefault="00F5091E" w:rsidP="009B62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</w:t>
            </w:r>
          </w:p>
        </w:tc>
        <w:tc>
          <w:tcPr>
            <w:tcW w:w="1914" w:type="dxa"/>
          </w:tcPr>
          <w:p w:rsidR="00F5091E" w:rsidRDefault="00F5091E" w:rsidP="00F509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28 800,00</w:t>
            </w:r>
          </w:p>
        </w:tc>
        <w:tc>
          <w:tcPr>
            <w:tcW w:w="1914" w:type="dxa"/>
          </w:tcPr>
          <w:p w:rsidR="00F5091E" w:rsidRDefault="00F5091E" w:rsidP="007D25C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28 800,00</w:t>
            </w:r>
          </w:p>
        </w:tc>
        <w:tc>
          <w:tcPr>
            <w:tcW w:w="1914" w:type="dxa"/>
          </w:tcPr>
          <w:p w:rsidR="00F5091E" w:rsidRDefault="00F5091E" w:rsidP="007D25C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28 800,00</w:t>
            </w:r>
          </w:p>
        </w:tc>
        <w:tc>
          <w:tcPr>
            <w:tcW w:w="1915" w:type="dxa"/>
          </w:tcPr>
          <w:p w:rsidR="00F5091E" w:rsidRDefault="00F5091E" w:rsidP="00F509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86 400,00</w:t>
            </w:r>
          </w:p>
        </w:tc>
      </w:tr>
      <w:tr w:rsidR="00F5091E" w:rsidTr="002D5554">
        <w:tc>
          <w:tcPr>
            <w:tcW w:w="1914" w:type="dxa"/>
          </w:tcPr>
          <w:p w:rsidR="00F5091E" w:rsidRDefault="00F5091E" w:rsidP="009B62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914" w:type="dxa"/>
          </w:tcPr>
          <w:p w:rsidR="00F5091E" w:rsidRDefault="00F5091E" w:rsidP="00F509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F5091E" w:rsidRDefault="00F5091E" w:rsidP="007D25C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F5091E" w:rsidRDefault="00F5091E" w:rsidP="007D25C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F5091E" w:rsidRDefault="00F5091E" w:rsidP="00F509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5091E" w:rsidTr="002D5554">
        <w:tc>
          <w:tcPr>
            <w:tcW w:w="1914" w:type="dxa"/>
          </w:tcPr>
          <w:p w:rsidR="00F5091E" w:rsidRPr="00F5091E" w:rsidRDefault="00F5091E" w:rsidP="009B62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F5091E" w:rsidRPr="00F5091E" w:rsidRDefault="00F5091E" w:rsidP="00F509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28 800,00</w:t>
            </w:r>
          </w:p>
        </w:tc>
        <w:tc>
          <w:tcPr>
            <w:tcW w:w="1914" w:type="dxa"/>
          </w:tcPr>
          <w:p w:rsidR="00F5091E" w:rsidRPr="00F5091E" w:rsidRDefault="00F5091E" w:rsidP="007D25C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28 800,00</w:t>
            </w:r>
          </w:p>
        </w:tc>
        <w:tc>
          <w:tcPr>
            <w:tcW w:w="1914" w:type="dxa"/>
          </w:tcPr>
          <w:p w:rsidR="00F5091E" w:rsidRPr="00F5091E" w:rsidRDefault="00F5091E" w:rsidP="007D25C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28 800,00</w:t>
            </w:r>
          </w:p>
        </w:tc>
        <w:tc>
          <w:tcPr>
            <w:tcW w:w="1915" w:type="dxa"/>
          </w:tcPr>
          <w:p w:rsidR="00F5091E" w:rsidRPr="00F5091E" w:rsidRDefault="00F5091E" w:rsidP="00F509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86 400,00</w:t>
            </w:r>
          </w:p>
        </w:tc>
      </w:tr>
    </w:tbl>
    <w:p w:rsidR="00E846E2" w:rsidRPr="00237802" w:rsidRDefault="00E846E2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D5554">
        <w:rPr>
          <w:rFonts w:ascii="Times New Roman" w:hAnsi="Times New Roman" w:cs="Times New Roman"/>
          <w:b/>
          <w:sz w:val="24"/>
          <w:szCs w:val="24"/>
        </w:rPr>
        <w:t>4</w:t>
      </w:r>
      <w:r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082A7F" w:rsidRDefault="002D5554" w:rsidP="002D555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мероприятий 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Программы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расчитана на 201</w:t>
      </w:r>
      <w:r w:rsidR="00270F1F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-201</w:t>
      </w:r>
      <w:r w:rsidR="00270F1F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годы.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46E2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E2" w:rsidRDefault="00E846E2" w:rsidP="00C0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67709E">
        <w:rPr>
          <w:rFonts w:ascii="Times New Roman" w:hAnsi="Times New Roman" w:cs="Times New Roman"/>
          <w:b/>
          <w:sz w:val="24"/>
          <w:szCs w:val="24"/>
        </w:rPr>
        <w:t>5</w:t>
      </w:r>
      <w:r w:rsidRPr="006D1E5D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A334BB" w:rsidRPr="006D1E5D" w:rsidRDefault="00A334BB" w:rsidP="00C0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E2" w:rsidRPr="001D05CE" w:rsidRDefault="00E846E2" w:rsidP="00C0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846E2" w:rsidRPr="001D05CE" w:rsidRDefault="00E846E2" w:rsidP="00C0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01F18" w:rsidRPr="00C33F37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бюджета Весьегонского района в </w:t>
      </w:r>
      <w:r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C01F18" w:rsidRPr="0055225D" w:rsidRDefault="00C01F18" w:rsidP="001618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5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225D">
        <w:rPr>
          <w:rFonts w:ascii="Times New Roman" w:hAnsi="Times New Roman" w:cs="Times New Roman"/>
          <w:sz w:val="24"/>
          <w:szCs w:val="24"/>
        </w:rPr>
        <w:t>т участие как главный администратор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реализуются в соответствии с законодательством.</w:t>
      </w:r>
    </w:p>
    <w:p w:rsidR="00C01F18" w:rsidRPr="0055225D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Ежегодно в срок до 15 января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района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C01F18" w:rsidRPr="0055225D" w:rsidRDefault="00C01F18" w:rsidP="00161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01F18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1D05CE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01F1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01F18" w:rsidRPr="001D05CE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18" w:rsidRPr="0055225D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с учетом меняющихся внешних и внутренних рисков.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осуществляется посредством регулярного сбора, анализа и оценки: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программы.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являются: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</w:pPr>
      <w:r>
        <w:rPr>
          <w:rFonts w:eastAsia="Times New Roman"/>
        </w:rPr>
        <w:t xml:space="preserve">б) </w:t>
      </w:r>
      <w:r w:rsidRPr="0055225D">
        <w:t>другие источники.</w:t>
      </w:r>
    </w:p>
    <w:p w:rsidR="00C01F18" w:rsidRPr="0055225D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01F18" w:rsidRPr="009A56C3" w:rsidRDefault="00C01F18" w:rsidP="00161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lastRenderedPageBreak/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Финансовый отдел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C01F18" w:rsidRPr="0055225D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01F18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01F18" w:rsidRPr="000E4B96" w:rsidRDefault="00C01F18" w:rsidP="00557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96">
        <w:rPr>
          <w:rFonts w:ascii="Times New Roman" w:hAnsi="Times New Roman" w:cs="Times New Roman"/>
          <w:b/>
          <w:b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C01F18" w:rsidRPr="001D05C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01F18" w:rsidRPr="000E4B96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B96">
        <w:rPr>
          <w:rFonts w:ascii="Times New Roman" w:hAnsi="Times New Roman" w:cs="Times New Roman"/>
          <w:bCs/>
          <w:sz w:val="24"/>
          <w:szCs w:val="24"/>
        </w:rPr>
        <w:t>В срок до 15 апреля года, следующего за отчетным годом, Администрация Весьегонского района</w:t>
      </w:r>
      <w:r w:rsidRPr="000E4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96">
        <w:rPr>
          <w:rFonts w:ascii="Times New Roman" w:hAnsi="Times New Roman" w:cs="Times New Roman"/>
          <w:bCs/>
          <w:sz w:val="24"/>
          <w:szCs w:val="24"/>
        </w:rPr>
        <w:t>представляет</w:t>
      </w:r>
      <w:r w:rsidRPr="000E4B96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0E4B96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и на бумажном носителе в </w:t>
      </w:r>
      <w:r w:rsidRPr="000E4B96">
        <w:rPr>
          <w:rFonts w:ascii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 согласно приложению 2 к Программе,</w:t>
      </w:r>
      <w:r w:rsidRPr="000E4B96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</w:t>
      </w:r>
      <w:proofErr w:type="gramEnd"/>
      <w:r w:rsidRPr="000E4B96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C01F18" w:rsidRPr="000E4B96" w:rsidRDefault="00C01F18" w:rsidP="0055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bCs/>
          <w:sz w:val="24"/>
          <w:szCs w:val="24"/>
        </w:rPr>
        <w:t>Администрация Весьегонского района</w:t>
      </w:r>
      <w:r w:rsidRPr="000E4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96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C01F18" w:rsidRPr="000E4B96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0E4B96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0E4B96">
        <w:rPr>
          <w:rFonts w:ascii="Times New Roman" w:hAnsi="Times New Roman" w:cs="Times New Roman"/>
          <w:sz w:val="24"/>
          <w:szCs w:val="24"/>
        </w:rPr>
        <w:t>.</w:t>
      </w:r>
    </w:p>
    <w:p w:rsidR="00C01F18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0E4B96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0E4B96">
        <w:rPr>
          <w:rFonts w:ascii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557084" w:rsidRPr="000E4B96" w:rsidRDefault="00557084" w:rsidP="0016183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01F18" w:rsidRPr="0007689E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C01F1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01F18" w:rsidRPr="0007689E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C01F18" w:rsidRPr="0007689E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lastRenderedPageBreak/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689E">
        <w:rPr>
          <w:rFonts w:ascii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89E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AB32F8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</w:rPr>
        <w:t>6</w:t>
      </w:r>
    </w:p>
    <w:p w:rsidR="00C01F18" w:rsidRPr="00AB32F8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01F18" w:rsidRPr="0007689E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C01F18" w:rsidRPr="0007689E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07689E" w:rsidRDefault="00C01F18" w:rsidP="00557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01F18" w:rsidRPr="0007689E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01F18" w:rsidRPr="005A138A" w:rsidRDefault="00C01F18" w:rsidP="0016183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</w:t>
      </w:r>
      <w:r w:rsidRPr="005A138A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 менеджмента;</w:t>
      </w:r>
      <w:r w:rsidRPr="005A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84" w:rsidRDefault="00C01F18" w:rsidP="005570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C01F18" w:rsidRPr="0055225D" w:rsidRDefault="00C01F18" w:rsidP="00557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C01F18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01F18" w:rsidRDefault="00C01F18" w:rsidP="0016183B">
      <w:pPr>
        <w:spacing w:after="0" w:line="240" w:lineRule="auto"/>
        <w:ind w:left="-15" w:firstLine="735"/>
        <w:jc w:val="both"/>
        <w:rPr>
          <w:rFonts w:ascii="Calibri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01F18" w:rsidSect="00F509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B2D2C"/>
    <w:multiLevelType w:val="hybridMultilevel"/>
    <w:tmpl w:val="5C78F836"/>
    <w:lvl w:ilvl="0" w:tplc="A0BE0AB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3E0103"/>
    <w:multiLevelType w:val="multilevel"/>
    <w:tmpl w:val="0D724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6">
    <w:nsid w:val="27F23A28"/>
    <w:multiLevelType w:val="hybridMultilevel"/>
    <w:tmpl w:val="F59869A6"/>
    <w:lvl w:ilvl="0" w:tplc="491C21D2">
      <w:start w:val="201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630D0E"/>
    <w:multiLevelType w:val="hybridMultilevel"/>
    <w:tmpl w:val="6E8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12441"/>
    <w:multiLevelType w:val="hybridMultilevel"/>
    <w:tmpl w:val="D3C6150C"/>
    <w:lvl w:ilvl="0" w:tplc="460EDBA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E25BB"/>
    <w:multiLevelType w:val="hybridMultilevel"/>
    <w:tmpl w:val="A2F89D44"/>
    <w:lvl w:ilvl="0" w:tplc="ADF6335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647B49"/>
    <w:multiLevelType w:val="hybridMultilevel"/>
    <w:tmpl w:val="CCFA0D52"/>
    <w:lvl w:ilvl="0" w:tplc="0FC07CB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7169D"/>
    <w:multiLevelType w:val="hybridMultilevel"/>
    <w:tmpl w:val="A25886AE"/>
    <w:lvl w:ilvl="0" w:tplc="EA34955E">
      <w:start w:val="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E5C4442"/>
    <w:multiLevelType w:val="hybridMultilevel"/>
    <w:tmpl w:val="376EDF9A"/>
    <w:lvl w:ilvl="0" w:tplc="2AA2DE2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71D61"/>
    <w:multiLevelType w:val="hybridMultilevel"/>
    <w:tmpl w:val="062C13C2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85F01"/>
    <w:multiLevelType w:val="hybridMultilevel"/>
    <w:tmpl w:val="51605FB2"/>
    <w:lvl w:ilvl="0" w:tplc="533C81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9"/>
  </w:num>
  <w:num w:numId="4">
    <w:abstractNumId w:val="3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3"/>
  </w:num>
  <w:num w:numId="8">
    <w:abstractNumId w:val="20"/>
  </w:num>
  <w:num w:numId="9">
    <w:abstractNumId w:val="34"/>
  </w:num>
  <w:num w:numId="10">
    <w:abstractNumId w:val="36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9"/>
  </w:num>
  <w:num w:numId="17">
    <w:abstractNumId w:val="32"/>
  </w:num>
  <w:num w:numId="18">
    <w:abstractNumId w:val="6"/>
  </w:num>
  <w:num w:numId="19">
    <w:abstractNumId w:val="22"/>
  </w:num>
  <w:num w:numId="20">
    <w:abstractNumId w:val="4"/>
  </w:num>
  <w:num w:numId="21">
    <w:abstractNumId w:val="13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5"/>
  </w:num>
  <w:num w:numId="28">
    <w:abstractNumId w:val="30"/>
  </w:num>
  <w:num w:numId="29">
    <w:abstractNumId w:val="17"/>
  </w:num>
  <w:num w:numId="30">
    <w:abstractNumId w:val="33"/>
  </w:num>
  <w:num w:numId="31">
    <w:abstractNumId w:val="9"/>
  </w:num>
  <w:num w:numId="32">
    <w:abstractNumId w:val="21"/>
  </w:num>
  <w:num w:numId="33">
    <w:abstractNumId w:val="26"/>
  </w:num>
  <w:num w:numId="34">
    <w:abstractNumId w:val="15"/>
  </w:num>
  <w:num w:numId="35">
    <w:abstractNumId w:val="18"/>
  </w:num>
  <w:num w:numId="36">
    <w:abstractNumId w:val="27"/>
  </w:num>
  <w:num w:numId="37">
    <w:abstractNumId w:val="2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4618"/>
    <w:rsid w:val="00007B87"/>
    <w:rsid w:val="000122F2"/>
    <w:rsid w:val="0005742A"/>
    <w:rsid w:val="000D2D71"/>
    <w:rsid w:val="000D3B22"/>
    <w:rsid w:val="001568AA"/>
    <w:rsid w:val="0016183B"/>
    <w:rsid w:val="00165AA8"/>
    <w:rsid w:val="00170E4E"/>
    <w:rsid w:val="001B1F44"/>
    <w:rsid w:val="001B62FE"/>
    <w:rsid w:val="001C052C"/>
    <w:rsid w:val="001C081F"/>
    <w:rsid w:val="001C684F"/>
    <w:rsid w:val="001F3966"/>
    <w:rsid w:val="00205EE1"/>
    <w:rsid w:val="00212C9C"/>
    <w:rsid w:val="00243D30"/>
    <w:rsid w:val="0024422C"/>
    <w:rsid w:val="00270F1F"/>
    <w:rsid w:val="002908EA"/>
    <w:rsid w:val="002D0952"/>
    <w:rsid w:val="002D20FD"/>
    <w:rsid w:val="002D5554"/>
    <w:rsid w:val="002E160A"/>
    <w:rsid w:val="00303FAA"/>
    <w:rsid w:val="00304218"/>
    <w:rsid w:val="00325FB9"/>
    <w:rsid w:val="003314CF"/>
    <w:rsid w:val="0035512D"/>
    <w:rsid w:val="0038058E"/>
    <w:rsid w:val="00394535"/>
    <w:rsid w:val="003A699A"/>
    <w:rsid w:val="003D7D45"/>
    <w:rsid w:val="003E6AB5"/>
    <w:rsid w:val="003E7092"/>
    <w:rsid w:val="00416CE5"/>
    <w:rsid w:val="00435E24"/>
    <w:rsid w:val="00441648"/>
    <w:rsid w:val="00461B5D"/>
    <w:rsid w:val="0047713C"/>
    <w:rsid w:val="004846B5"/>
    <w:rsid w:val="004B45EF"/>
    <w:rsid w:val="004F53C3"/>
    <w:rsid w:val="0052544D"/>
    <w:rsid w:val="00530AD1"/>
    <w:rsid w:val="00544A2C"/>
    <w:rsid w:val="00545C9C"/>
    <w:rsid w:val="0055695B"/>
    <w:rsid w:val="00557084"/>
    <w:rsid w:val="005A138A"/>
    <w:rsid w:val="005B19CE"/>
    <w:rsid w:val="005C24F1"/>
    <w:rsid w:val="005D0AF2"/>
    <w:rsid w:val="005E646F"/>
    <w:rsid w:val="00606D8F"/>
    <w:rsid w:val="00625B36"/>
    <w:rsid w:val="00635B3F"/>
    <w:rsid w:val="0066777F"/>
    <w:rsid w:val="0067709E"/>
    <w:rsid w:val="006A31D9"/>
    <w:rsid w:val="006A5214"/>
    <w:rsid w:val="00700065"/>
    <w:rsid w:val="00740203"/>
    <w:rsid w:val="00743EBA"/>
    <w:rsid w:val="007529FC"/>
    <w:rsid w:val="00753F7E"/>
    <w:rsid w:val="00755FA4"/>
    <w:rsid w:val="007768CE"/>
    <w:rsid w:val="00784FE3"/>
    <w:rsid w:val="00787964"/>
    <w:rsid w:val="007963E0"/>
    <w:rsid w:val="007A2BB1"/>
    <w:rsid w:val="007A433F"/>
    <w:rsid w:val="007E43F4"/>
    <w:rsid w:val="007E7EE5"/>
    <w:rsid w:val="008069F3"/>
    <w:rsid w:val="00810E4E"/>
    <w:rsid w:val="00827D23"/>
    <w:rsid w:val="00851277"/>
    <w:rsid w:val="008661A2"/>
    <w:rsid w:val="008663E3"/>
    <w:rsid w:val="008A5DC3"/>
    <w:rsid w:val="00916E62"/>
    <w:rsid w:val="00930AB8"/>
    <w:rsid w:val="00933C5E"/>
    <w:rsid w:val="00943EFD"/>
    <w:rsid w:val="0099342A"/>
    <w:rsid w:val="009A1B4A"/>
    <w:rsid w:val="009B628C"/>
    <w:rsid w:val="009F5DAA"/>
    <w:rsid w:val="00A266D5"/>
    <w:rsid w:val="00A3289D"/>
    <w:rsid w:val="00A334BB"/>
    <w:rsid w:val="00A907F3"/>
    <w:rsid w:val="00A90BE4"/>
    <w:rsid w:val="00AA5FE4"/>
    <w:rsid w:val="00AD757E"/>
    <w:rsid w:val="00AF06CC"/>
    <w:rsid w:val="00B03381"/>
    <w:rsid w:val="00B20A73"/>
    <w:rsid w:val="00B23530"/>
    <w:rsid w:val="00B447C8"/>
    <w:rsid w:val="00B6032F"/>
    <w:rsid w:val="00B7272E"/>
    <w:rsid w:val="00B81747"/>
    <w:rsid w:val="00BE6945"/>
    <w:rsid w:val="00BF0688"/>
    <w:rsid w:val="00BF2C75"/>
    <w:rsid w:val="00C01F18"/>
    <w:rsid w:val="00C108A2"/>
    <w:rsid w:val="00C1190E"/>
    <w:rsid w:val="00C23C29"/>
    <w:rsid w:val="00C310D2"/>
    <w:rsid w:val="00C33F37"/>
    <w:rsid w:val="00C47817"/>
    <w:rsid w:val="00C64399"/>
    <w:rsid w:val="00C75546"/>
    <w:rsid w:val="00C83E8B"/>
    <w:rsid w:val="00CA4388"/>
    <w:rsid w:val="00D00422"/>
    <w:rsid w:val="00D111B8"/>
    <w:rsid w:val="00D17396"/>
    <w:rsid w:val="00D37746"/>
    <w:rsid w:val="00D44AF4"/>
    <w:rsid w:val="00D535C4"/>
    <w:rsid w:val="00D57E74"/>
    <w:rsid w:val="00D76520"/>
    <w:rsid w:val="00D87D25"/>
    <w:rsid w:val="00D92C8D"/>
    <w:rsid w:val="00DA4F0F"/>
    <w:rsid w:val="00E13847"/>
    <w:rsid w:val="00E15D5C"/>
    <w:rsid w:val="00E30B3A"/>
    <w:rsid w:val="00E451EF"/>
    <w:rsid w:val="00E54C1A"/>
    <w:rsid w:val="00E62EFE"/>
    <w:rsid w:val="00E76337"/>
    <w:rsid w:val="00E846E2"/>
    <w:rsid w:val="00E94910"/>
    <w:rsid w:val="00E97263"/>
    <w:rsid w:val="00EC5CC6"/>
    <w:rsid w:val="00ED7577"/>
    <w:rsid w:val="00EE30DD"/>
    <w:rsid w:val="00EE7C49"/>
    <w:rsid w:val="00EF5D8A"/>
    <w:rsid w:val="00F448B9"/>
    <w:rsid w:val="00F5091E"/>
    <w:rsid w:val="00F80A1C"/>
    <w:rsid w:val="00F85F8A"/>
    <w:rsid w:val="00F95758"/>
    <w:rsid w:val="00FB65A2"/>
    <w:rsid w:val="00FD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Абзац"/>
    <w:basedOn w:val="a"/>
    <w:rsid w:val="000122F2"/>
    <w:pPr>
      <w:suppressAutoHyphens/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2"/>
    <w:basedOn w:val="a"/>
    <w:link w:val="23"/>
    <w:rsid w:val="00C01F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C01F18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2D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F404-58A1-4C1A-904F-3B42242B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9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48</cp:revision>
  <cp:lastPrinted>2016-12-30T05:41:00Z</cp:lastPrinted>
  <dcterms:created xsi:type="dcterms:W3CDTF">2013-09-09T19:57:00Z</dcterms:created>
  <dcterms:modified xsi:type="dcterms:W3CDTF">2016-12-30T05:41:00Z</dcterms:modified>
</cp:coreProperties>
</file>