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6F3C75" w:rsidRPr="002B511D" w:rsidRDefault="006F3C75" w:rsidP="006F3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11D">
        <w:rPr>
          <w:rFonts w:ascii="Times New Roman" w:hAnsi="Times New Roman" w:cs="Times New Roman"/>
          <w:sz w:val="24"/>
          <w:szCs w:val="24"/>
        </w:rPr>
        <w:t>Утверждена</w:t>
      </w:r>
    </w:p>
    <w:p w:rsidR="006F3C75" w:rsidRPr="002B511D" w:rsidRDefault="006F3C75" w:rsidP="006F3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2B511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6F3C75" w:rsidRPr="002B511D" w:rsidRDefault="006F3C75" w:rsidP="006F3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11D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</w:p>
    <w:p w:rsidR="006F3C75" w:rsidRPr="002B511D" w:rsidRDefault="006F3C75" w:rsidP="006F3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11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29.12.2018 </w:t>
      </w:r>
      <w:r w:rsidRPr="002B511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664</w:t>
      </w: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6F3C75" w:rsidRDefault="00C310D2" w:rsidP="00C310D2">
      <w:pPr>
        <w:ind w:left="12474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ind w:left="12474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C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6F3C75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C7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C310D2" w:rsidRPr="006F3C75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Pr="006F3C7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310D2" w:rsidRPr="006F3C7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F3C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0D2" w:rsidRPr="006F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6F3C75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C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 w:rsidRPr="006F3C75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муниципального образования Тверской области «Весьегонский район» на 201</w:t>
      </w:r>
      <w:r w:rsidR="00DA2581" w:rsidRPr="006F3C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675A" w:rsidRPr="006F3C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 w:rsidRPr="006F3C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 w:rsidRPr="006F3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2581" w:rsidRPr="006F3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CFE" w:rsidRPr="006F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 w:rsidRPr="006F3C75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6F3C75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C75">
        <w:rPr>
          <w:rFonts w:ascii="Times New Roman" w:hAnsi="Times New Roman" w:cs="Times New Roman"/>
          <w:sz w:val="24"/>
          <w:szCs w:val="24"/>
        </w:rPr>
        <w:t>г</w:t>
      </w:r>
      <w:r w:rsidR="00C310D2" w:rsidRPr="006F3C75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6F3C75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C75">
        <w:rPr>
          <w:rFonts w:ascii="Times New Roman" w:hAnsi="Times New Roman" w:cs="Times New Roman"/>
          <w:sz w:val="24"/>
          <w:szCs w:val="24"/>
        </w:rPr>
        <w:t>201</w:t>
      </w:r>
      <w:r w:rsidR="00DA2581" w:rsidRPr="006F3C75">
        <w:rPr>
          <w:rFonts w:ascii="Times New Roman" w:hAnsi="Times New Roman" w:cs="Times New Roman"/>
          <w:sz w:val="24"/>
          <w:szCs w:val="24"/>
        </w:rPr>
        <w:t>8</w:t>
      </w:r>
      <w:r w:rsidRPr="006F3C75">
        <w:rPr>
          <w:rFonts w:ascii="Times New Roman" w:hAnsi="Times New Roman" w:cs="Times New Roman"/>
          <w:sz w:val="24"/>
          <w:szCs w:val="24"/>
        </w:rPr>
        <w:t xml:space="preserve"> г.</w:t>
      </w:r>
      <w:r w:rsidRPr="006F3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C75" w:rsidRDefault="006F3C7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муниципального образования Тверской области «Весьегонский район» на 2019-2024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E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муниципального образования Тверской области «Весьегонский район»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отношений и градостроительства администрации Весьегонского района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F175F0" w:rsidRDefault="00DA2581" w:rsidP="00DA2581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 «Весьегонский район»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5A0973" w:rsidRDefault="00DA2581" w:rsidP="00DA2581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DA2581" w:rsidRPr="004126C4" w:rsidRDefault="00DA2581" w:rsidP="00E23419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«Совершенствование структуры муниципального имущества муниципального образования Тверской области «Весьегонский район, обеспечивающего выполнение полномочий муниципального района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DA2581" w:rsidRPr="00D1122C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Обеспечение содержания и сохранности муниципального жилищного фонда (далее – подпрограмма 3).</w:t>
            </w:r>
          </w:p>
          <w:p w:rsidR="00DA2581" w:rsidRPr="00D00CDC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DA2581" w:rsidRPr="00AB159D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>муниципального образования Тверской области «Весьегонский район»</w:t>
            </w:r>
            <w:r w:rsidRPr="00161736">
              <w:t>.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128500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3 - 58500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128500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3 - 58500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128500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3 - 58500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128500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3 - 58500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128500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–70000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3 - 58500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128500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3 - 58500</w:t>
            </w:r>
          </w:p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Calibri" w:eastAsia="Times New Roman" w:hAnsi="Calibri" w:cs="Times New Roman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9E779C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муниципального образования Тверской области «Весьегонский район».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>
        <w:rPr>
          <w:rFonts w:ascii="Times New Roman" w:hAnsi="Times New Roman"/>
          <w:sz w:val="24"/>
          <w:szCs w:val="24"/>
        </w:rPr>
        <w:t>муниципального</w:t>
      </w:r>
      <w:r w:rsidRPr="00DA2581">
        <w:rPr>
          <w:rFonts w:ascii="Times New Roman" w:hAnsi="Times New Roman"/>
          <w:sz w:val="24"/>
          <w:szCs w:val="24"/>
        </w:rPr>
        <w:t xml:space="preserve"> </w:t>
      </w:r>
      <w:r w:rsidR="00BC3BCE" w:rsidRPr="00DA2581">
        <w:rPr>
          <w:rFonts w:ascii="Times New Roman" w:hAnsi="Times New Roman"/>
          <w:sz w:val="24"/>
          <w:szCs w:val="24"/>
        </w:rPr>
        <w:t>образования Тверской области «Весьегонский район»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Pr="00DA2581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Тверской обла</w:t>
      </w:r>
      <w:r>
        <w:rPr>
          <w:rFonts w:ascii="Times New Roman" w:hAnsi="Times New Roman" w:cs="Times New Roman"/>
          <w:sz w:val="24"/>
          <w:szCs w:val="24"/>
        </w:rPr>
        <w:t>сти «Весьегонский район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. Имущество, не закрепленное за муниципальными учреждениями и предприятиями составляет муниципальную казну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 xml:space="preserve">переданы в аренду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«Весьегонский район» находится </w:t>
      </w:r>
      <w:r w:rsidR="00BE190D" w:rsidRPr="00BE190D">
        <w:rPr>
          <w:rFonts w:ascii="Times New Roman" w:hAnsi="Times New Roman" w:cs="Times New Roman"/>
          <w:sz w:val="24"/>
          <w:szCs w:val="24"/>
        </w:rPr>
        <w:t>315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CA6B4D">
        <w:rPr>
          <w:rFonts w:ascii="Times New Roman" w:hAnsi="Times New Roman" w:cs="Times New Roman"/>
          <w:sz w:val="24"/>
          <w:szCs w:val="24"/>
        </w:rPr>
        <w:t>206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района 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3520B7" w:rsidRPr="00BE190D">
        <w:rPr>
          <w:rFonts w:ascii="Times New Roman" w:hAnsi="Times New Roman" w:cs="Times New Roman"/>
          <w:sz w:val="24"/>
          <w:szCs w:val="24"/>
        </w:rPr>
        <w:t>8</w:t>
      </w:r>
      <w:r w:rsidR="00BE190D" w:rsidRPr="00BE190D">
        <w:rPr>
          <w:rFonts w:ascii="Times New Roman" w:hAnsi="Times New Roman" w:cs="Times New Roman"/>
          <w:sz w:val="24"/>
          <w:szCs w:val="24"/>
        </w:rPr>
        <w:t>3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BE190D" w:rsidRPr="00BE190D">
        <w:rPr>
          <w:rFonts w:ascii="Times New Roman" w:hAnsi="Times New Roman" w:cs="Times New Roman"/>
          <w:sz w:val="24"/>
          <w:szCs w:val="24"/>
        </w:rPr>
        <w:t>а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520B7" w:rsidRPr="00BE190D">
        <w:rPr>
          <w:rFonts w:ascii="Times New Roman" w:hAnsi="Times New Roman" w:cs="Times New Roman"/>
          <w:sz w:val="24"/>
          <w:szCs w:val="24"/>
        </w:rPr>
        <w:t>41,</w:t>
      </w:r>
      <w:r w:rsidR="00CA6B4D">
        <w:rPr>
          <w:rFonts w:ascii="Times New Roman" w:hAnsi="Times New Roman" w:cs="Times New Roman"/>
          <w:sz w:val="24"/>
          <w:szCs w:val="24"/>
        </w:rPr>
        <w:t>5</w:t>
      </w:r>
      <w:r w:rsidR="003520B7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F80D65" w:rsidRPr="00BE190D">
        <w:rPr>
          <w:rFonts w:ascii="Times New Roman" w:hAnsi="Times New Roman" w:cs="Times New Roman"/>
          <w:sz w:val="24"/>
          <w:szCs w:val="24"/>
        </w:rPr>
        <w:t>га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5729BF" w:rsidRPr="00BE190D">
        <w:rPr>
          <w:rFonts w:ascii="Times New Roman" w:hAnsi="Times New Roman" w:cs="Times New Roman"/>
          <w:sz w:val="24"/>
          <w:szCs w:val="24"/>
        </w:rPr>
        <w:t>5</w:t>
      </w:r>
      <w:r w:rsidR="00CA6B4D">
        <w:rPr>
          <w:rFonts w:ascii="Times New Roman" w:hAnsi="Times New Roman" w:cs="Times New Roman"/>
          <w:sz w:val="24"/>
          <w:szCs w:val="24"/>
        </w:rPr>
        <w:t>8</w:t>
      </w:r>
      <w:r w:rsidR="009C79C6" w:rsidRPr="00BE190D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729BF" w:rsidRPr="00BE190D">
        <w:rPr>
          <w:rFonts w:ascii="Times New Roman" w:hAnsi="Times New Roman" w:cs="Times New Roman"/>
          <w:sz w:val="24"/>
          <w:szCs w:val="24"/>
        </w:rPr>
        <w:t>1</w:t>
      </w:r>
      <w:r w:rsidR="00CA6B4D">
        <w:rPr>
          <w:rFonts w:ascii="Times New Roman" w:hAnsi="Times New Roman" w:cs="Times New Roman"/>
          <w:sz w:val="24"/>
          <w:szCs w:val="24"/>
        </w:rPr>
        <w:t>2</w:t>
      </w:r>
      <w:r w:rsidR="005729BF" w:rsidRPr="00BE190D">
        <w:rPr>
          <w:rFonts w:ascii="Times New Roman" w:hAnsi="Times New Roman" w:cs="Times New Roman"/>
          <w:sz w:val="24"/>
          <w:szCs w:val="24"/>
        </w:rPr>
        <w:t>,</w:t>
      </w:r>
      <w:r w:rsidR="00CA6B4D">
        <w:rPr>
          <w:rFonts w:ascii="Times New Roman" w:hAnsi="Times New Roman" w:cs="Times New Roman"/>
          <w:sz w:val="24"/>
          <w:szCs w:val="24"/>
        </w:rPr>
        <w:t>1</w:t>
      </w:r>
      <w:r w:rsidR="008C429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9C79C6" w:rsidRPr="00BE190D">
        <w:rPr>
          <w:rFonts w:ascii="Times New Roman" w:hAnsi="Times New Roman" w:cs="Times New Roman"/>
          <w:sz w:val="24"/>
          <w:szCs w:val="24"/>
        </w:rPr>
        <w:t>га.</w:t>
      </w:r>
    </w:p>
    <w:p w:rsidR="009C79C6" w:rsidRPr="00BE190D" w:rsidRDefault="009C79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Право муниципальной собственности зарегистрировано </w:t>
      </w:r>
      <w:r w:rsidR="00CF5E0D" w:rsidRPr="00BE190D">
        <w:rPr>
          <w:rFonts w:ascii="Times New Roman" w:hAnsi="Times New Roman" w:cs="Times New Roman"/>
          <w:sz w:val="24"/>
          <w:szCs w:val="24"/>
        </w:rPr>
        <w:t xml:space="preserve">на </w:t>
      </w:r>
      <w:r w:rsidR="00CA6B4D">
        <w:rPr>
          <w:rFonts w:ascii="Times New Roman" w:hAnsi="Times New Roman" w:cs="Times New Roman"/>
          <w:sz w:val="24"/>
          <w:szCs w:val="24"/>
        </w:rPr>
        <w:t>5</w:t>
      </w:r>
      <w:r w:rsidR="005729BF" w:rsidRPr="00BE190D">
        <w:rPr>
          <w:rFonts w:ascii="Times New Roman" w:hAnsi="Times New Roman" w:cs="Times New Roman"/>
          <w:sz w:val="24"/>
          <w:szCs w:val="24"/>
        </w:rPr>
        <w:t>0</w:t>
      </w:r>
      <w:r w:rsidR="00CF5E0D" w:rsidRPr="00BE190D">
        <w:rPr>
          <w:rFonts w:ascii="Times New Roman" w:hAnsi="Times New Roman" w:cs="Times New Roman"/>
          <w:sz w:val="24"/>
          <w:szCs w:val="24"/>
        </w:rPr>
        <w:t xml:space="preserve"> объектов недвижимости и </w:t>
      </w:r>
      <w:r w:rsidR="005729BF" w:rsidRPr="00BE190D">
        <w:rPr>
          <w:rFonts w:ascii="Times New Roman" w:hAnsi="Times New Roman" w:cs="Times New Roman"/>
          <w:sz w:val="24"/>
          <w:szCs w:val="24"/>
        </w:rPr>
        <w:t>5</w:t>
      </w:r>
      <w:r w:rsidR="00CA6B4D">
        <w:rPr>
          <w:rFonts w:ascii="Times New Roman" w:hAnsi="Times New Roman" w:cs="Times New Roman"/>
          <w:sz w:val="24"/>
          <w:szCs w:val="24"/>
        </w:rPr>
        <w:t>9</w:t>
      </w:r>
      <w:r w:rsidR="00CF5E0D" w:rsidRPr="00BE190D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BE190D" w:rsidRPr="00BE190D">
        <w:rPr>
          <w:rFonts w:ascii="Times New Roman" w:hAnsi="Times New Roman" w:cs="Times New Roman"/>
          <w:sz w:val="24"/>
          <w:szCs w:val="24"/>
        </w:rPr>
        <w:t>ов</w:t>
      </w:r>
      <w:r w:rsidR="00CF5E0D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сделки.</w:t>
      </w:r>
    </w:p>
    <w:p w:rsidR="00A516C6" w:rsidRDefault="000D5B3E" w:rsidP="00A516C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>объектов недвижимости,  находящихся в собственности муниципального образования Тверской области «Весьегонский район». Регистрация права собственности  муниципального образования Тверской области «Весьегонский район»</w:t>
      </w:r>
      <w:r w:rsidR="00495BAC">
        <w:t xml:space="preserve"> </w:t>
      </w:r>
      <w:r w:rsidR="00A516C6">
        <w:t xml:space="preserve">на </w:t>
      </w:r>
      <w:r w:rsidR="00C00F83">
        <w:t>них</w:t>
      </w:r>
      <w:proofErr w:type="gramStart"/>
      <w:r w:rsidR="00C00F83">
        <w:t xml:space="preserve"> .</w:t>
      </w:r>
      <w:proofErr w:type="gramEnd"/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>оценки рыночной стоимости объектов собственности муниципального образования Тверской</w:t>
      </w:r>
      <w:proofErr w:type="gramEnd"/>
      <w:r>
        <w:t xml:space="preserve"> области «Весьегонский район», вовлекаемых в сделки.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lastRenderedPageBreak/>
        <w:t xml:space="preserve">Увеличение </w:t>
      </w:r>
      <w:r w:rsidRPr="00F866A8">
        <w:t xml:space="preserve">доходов бюджета </w:t>
      </w:r>
      <w:r>
        <w:t>муниципального образования Тверской области «Весьегонский район»</w:t>
      </w:r>
      <w:r w:rsidRPr="00F866A8">
        <w:t xml:space="preserve"> на основе эффективного управления муниципальным имуществом</w:t>
      </w:r>
      <w:r>
        <w:t>.</w:t>
      </w:r>
    </w:p>
    <w:p w:rsidR="000D5B3E" w:rsidRDefault="000D5B3E" w:rsidP="000D5B3E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</w:p>
    <w:p w:rsidR="009C79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Default="002C78BA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>
        <w:rPr>
          <w:rFonts w:ascii="Times New Roman" w:hAnsi="Times New Roman" w:cs="Times New Roman"/>
          <w:sz w:val="24"/>
          <w:szCs w:val="24"/>
        </w:rPr>
        <w:t xml:space="preserve">и удаленность от районного центра неиспользуемых </w:t>
      </w:r>
      <w:r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Default="006B7428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финансирования на проведение технической инвентаризации объектов недвижимости для постановки их на кадастровый учет в целях регистрации права муниципальной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9C79C6" w:rsidRPr="006B7428" w:rsidRDefault="009C79C6" w:rsidP="006B742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F175F0" w:rsidRDefault="008C2697" w:rsidP="008C2697">
      <w:pPr>
        <w:pStyle w:val="a5"/>
        <w:numPr>
          <w:ilvl w:val="0"/>
          <w:numId w:val="16"/>
        </w:numPr>
        <w:tabs>
          <w:tab w:val="left" w:pos="459"/>
        </w:tabs>
        <w:spacing w:before="100" w:beforeAutospacing="1" w:after="100" w:afterAutospacing="1" w:line="240" w:lineRule="auto"/>
        <w:ind w:left="3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75F0">
        <w:rPr>
          <w:rFonts w:ascii="Times New Roman" w:hAnsi="Times New Roman"/>
          <w:sz w:val="24"/>
          <w:szCs w:val="24"/>
        </w:rPr>
        <w:t xml:space="preserve">величение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Тверской области «Весьегонский район»</w:t>
      </w:r>
      <w:r w:rsidRPr="00F175F0">
        <w:rPr>
          <w:rFonts w:ascii="Times New Roman" w:hAnsi="Times New Roman"/>
          <w:sz w:val="24"/>
          <w:szCs w:val="24"/>
        </w:rPr>
        <w:t xml:space="preserve">  на основе эффективного управления муниципальной собственностью; </w:t>
      </w:r>
    </w:p>
    <w:p w:rsidR="00FA4AC7" w:rsidRPr="00EF183E" w:rsidRDefault="008C2697" w:rsidP="00772615">
      <w:pPr>
        <w:pStyle w:val="a5"/>
        <w:numPr>
          <w:ilvl w:val="0"/>
          <w:numId w:val="16"/>
        </w:numPr>
        <w:shd w:val="clear" w:color="auto" w:fill="FFFFFF"/>
        <w:tabs>
          <w:tab w:val="left" w:pos="459"/>
        </w:tabs>
        <w:spacing w:before="100" w:beforeAutospacing="1" w:after="0" w:afterAutospacing="1" w:line="240" w:lineRule="auto"/>
        <w:ind w:left="360" w:right="3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3E">
        <w:rPr>
          <w:rFonts w:ascii="Times New Roman" w:hAnsi="Times New Roman"/>
          <w:sz w:val="24"/>
          <w:szCs w:val="24"/>
        </w:rPr>
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3860F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tbl>
      <w:tblPr>
        <w:tblW w:w="16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48"/>
      </w:tblGrid>
      <w:tr w:rsidR="009D3C2F" w:rsidRPr="00E86EC7" w:rsidTr="006E3FE2">
        <w:trPr>
          <w:cantSplit/>
          <w:trHeight w:val="5904"/>
        </w:trPr>
        <w:tc>
          <w:tcPr>
            <w:tcW w:w="16848" w:type="dxa"/>
          </w:tcPr>
          <w:p w:rsidR="006E3FE2" w:rsidRDefault="006E3FE2" w:rsidP="00B21D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087099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местного бюджета от использования муниципального имущества и </w:t>
            </w:r>
          </w:p>
          <w:p w:rsidR="00FA4AC7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участков.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приватизированных объектов недвижимости, не используемых для реализации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органами  местного самоуправления Весьегонского района. </w:t>
            </w:r>
          </w:p>
          <w:p w:rsidR="006E3FE2" w:rsidRDefault="00FA4AC7" w:rsidP="00D30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2CFE" w:rsidRDefault="005F2CFE" w:rsidP="00FA4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726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Подпрограммы.</w:t>
            </w: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0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связана с выполнением следующих подпрограмм: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Тверской области «Весьегонский район</w:t>
            </w:r>
            <w:r w:rsidR="00BF1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использования»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«Оформление права муниципальной собственности на землю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собственности </w:t>
            </w:r>
            <w:proofErr w:type="gramStart"/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Тверской области «Весьегонский район» </w:t>
            </w:r>
          </w:p>
          <w:p w:rsidR="00D00ECB" w:rsidRDefault="00D00ECB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содержания и сохранности муниципального жилищного </w:t>
            </w:r>
          </w:p>
          <w:p w:rsidR="00D00ECB" w:rsidRDefault="00D00ECB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Фонда»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D300CC"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I</w:t>
            </w:r>
          </w:p>
          <w:p w:rsidR="00B91E7A" w:rsidRP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Pr="00B91E7A" w:rsidRDefault="00B91E7A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7C" w:rsidRPr="00526732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структуры муниципального имущества </w:t>
            </w: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Тверской области «Весьегонский район, </w:t>
            </w: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</w:p>
          <w:p w:rsidR="00D300CC" w:rsidRPr="001A67E1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его использования» </w:t>
            </w:r>
          </w:p>
          <w:p w:rsidR="00D300CC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00CC" w:rsidRPr="008A5DC3">
              <w:rPr>
                <w:rFonts w:ascii="Times New Roman" w:hAnsi="Times New Roman" w:cs="Times New Roman"/>
                <w:sz w:val="24"/>
                <w:szCs w:val="24"/>
              </w:rPr>
              <w:t>Глава 1. Задачи подпрограммы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7A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Default="00B91E7A" w:rsidP="00B91E7A">
            <w:pPr>
              <w:pStyle w:val="a5"/>
              <w:spacing w:after="0"/>
              <w:ind w:left="50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1  «Совершенствование структуры </w:t>
            </w:r>
            <w:proofErr w:type="gramStart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муниципального образования Тверской области «Весьегонский район</w:t>
            </w:r>
            <w:r w:rsidR="00BF1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использования»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решением следующих задач:</w:t>
            </w:r>
          </w:p>
          <w:p w:rsidR="00B91E7A" w:rsidRDefault="00B91E7A" w:rsidP="00D300C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86" w:rsidRDefault="00D300CC" w:rsidP="006B67E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подпрограммы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</w:t>
            </w:r>
          </w:p>
          <w:p w:rsidR="005F2CFE" w:rsidRPr="009D3C2F" w:rsidRDefault="00FC1BD0" w:rsidP="009622A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</w:t>
            </w:r>
            <w:r w:rsidR="0096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прошедших государственный кадастровый учет</w:t>
            </w:r>
            <w:r w:rsidR="006B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CFE" w:rsidRDefault="005F2CFE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собственности муниципального образования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«Весьегонский район»,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F2C" w:rsidRDefault="005F2CFE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 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926027" w:rsidRDefault="009622AA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 объектов собственности муниципального образования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«Весьегонский район», вовлекаемых в сделки»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 муниципального образования Тверской области «Весьегонский район»,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926027" w:rsidRPr="00DC5F2C" w:rsidRDefault="00926027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Default="00B5415B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подпрограмм</w:t>
      </w:r>
      <w:r w:rsidR="00133BDB">
        <w:rPr>
          <w:rFonts w:ascii="Times New Roman" w:hAnsi="Times New Roman" w:cs="Times New Roman"/>
          <w:bCs/>
          <w:sz w:val="24"/>
          <w:szCs w:val="24"/>
        </w:rPr>
        <w:t>ы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объектов недвижимости,  не прошедших государственный кадастровый учет и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5F2CFE" w:rsidRDefault="005F2CFE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3 «Осуществление оценки рыночной стоимости объектов собственности, муниципального образования Тверской области «Весьегонский район»,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12A1D" w:rsidRDefault="002A4453" w:rsidP="00B12A1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</w:p>
    <w:p w:rsidR="002A4453" w:rsidRDefault="002A4453" w:rsidP="00765A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702C95" w:rsidRDefault="00702C95" w:rsidP="00B12A1D">
      <w:pPr>
        <w:pStyle w:val="ConsPlusCel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F32AA" w:rsidRDefault="00263566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муниципального образования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E7A">
        <w:rPr>
          <w:rFonts w:ascii="Times New Roman" w:hAnsi="Times New Roman" w:cs="Times New Roman"/>
          <w:sz w:val="24"/>
          <w:szCs w:val="24"/>
        </w:rPr>
        <w:t>Весьегонский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обеспечивающего выполнение полномочий муниципального района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9B1AF5">
      <w:pPr>
        <w:pStyle w:val="ConsPlusCell"/>
        <w:widowControl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кадастровых паспортов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свидет</w:t>
      </w:r>
      <w:r w:rsidR="00FA1EE8">
        <w:rPr>
          <w:rFonts w:ascii="Times New Roman" w:hAnsi="Times New Roman" w:cs="Times New Roman"/>
          <w:bCs/>
          <w:sz w:val="24"/>
          <w:szCs w:val="24"/>
        </w:rPr>
        <w:t>ельств о государственной регистрации права собственности.</w:t>
      </w:r>
    </w:p>
    <w:p w:rsidR="001E21DC" w:rsidRDefault="001E21DC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49700E" w:rsidRDefault="0049700E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proofErr w:type="gramStart"/>
      <w:r w:rsidR="00DD7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A2B18" w:rsidRDefault="008A2B18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370C22" w:rsidRDefault="00370C22" w:rsidP="00370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6A3CAD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997A3A">
        <w:rPr>
          <w:rFonts w:ascii="Times New Roman" w:hAnsi="Times New Roman" w:cs="Times New Roman"/>
          <w:bCs/>
          <w:sz w:val="24"/>
          <w:szCs w:val="24"/>
        </w:rPr>
        <w:t>420</w:t>
      </w:r>
      <w:r w:rsidR="00C175A3">
        <w:rPr>
          <w:rFonts w:ascii="Times New Roman" w:hAnsi="Times New Roman" w:cs="Times New Roman"/>
          <w:bCs/>
          <w:sz w:val="24"/>
          <w:szCs w:val="24"/>
        </w:rPr>
        <w:t>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13368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>Совершенствование структуры муниципального имущества муниципального образования Тверской области «Весьегонский район, обеспечивающего выполнение полномочий муниципального района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851"/>
        <w:gridCol w:w="850"/>
        <w:gridCol w:w="851"/>
        <w:gridCol w:w="840"/>
        <w:gridCol w:w="861"/>
        <w:gridCol w:w="850"/>
        <w:gridCol w:w="958"/>
      </w:tblGrid>
      <w:tr w:rsidR="002D4ED2" w:rsidRPr="00370C22" w:rsidTr="0085415C">
        <w:tc>
          <w:tcPr>
            <w:tcW w:w="3510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1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D4ED2" w:rsidRPr="00370C22" w:rsidTr="0085415C">
        <w:tc>
          <w:tcPr>
            <w:tcW w:w="3510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D4ED2" w:rsidRPr="00370C22" w:rsidRDefault="002D4ED2" w:rsidP="00CA6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D4ED2" w:rsidRPr="00370C22" w:rsidRDefault="002D4ED2" w:rsidP="00CA6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D4ED2" w:rsidRDefault="0085415C" w:rsidP="00CA6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D4ED2" w:rsidRDefault="0085415C" w:rsidP="00CA6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2D4ED2" w:rsidRDefault="0085415C" w:rsidP="00CA6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D4ED2" w:rsidRPr="00370C22" w:rsidRDefault="002D4ED2" w:rsidP="00CA6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85415C">
        <w:trPr>
          <w:trHeight w:val="1244"/>
        </w:trPr>
        <w:tc>
          <w:tcPr>
            <w:tcW w:w="3510" w:type="dxa"/>
            <w:vAlign w:val="center"/>
          </w:tcPr>
          <w:p w:rsidR="002D4ED2" w:rsidRDefault="002D4ED2" w:rsidP="00733246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2D4ED2" w:rsidRPr="00133684" w:rsidRDefault="002D4ED2" w:rsidP="00733246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кадастровый учет.</w:t>
            </w:r>
          </w:p>
        </w:tc>
        <w:tc>
          <w:tcPr>
            <w:tcW w:w="851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E72C89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2D4ED2" w:rsidRPr="00370C22" w:rsidRDefault="000A075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0A075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40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0A075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61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0A075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2D4ED2" w:rsidRPr="00370C22" w:rsidRDefault="000A0754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58" w:type="dxa"/>
            <w:vAlign w:val="center"/>
          </w:tcPr>
          <w:p w:rsidR="002D4ED2" w:rsidRPr="00370C22" w:rsidRDefault="000A0754" w:rsidP="00E72C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2D4ED2" w:rsidRPr="00370C22" w:rsidTr="0085415C">
        <w:trPr>
          <w:trHeight w:val="1883"/>
        </w:trPr>
        <w:tc>
          <w:tcPr>
            <w:tcW w:w="3510" w:type="dxa"/>
            <w:vAlign w:val="center"/>
          </w:tcPr>
          <w:p w:rsidR="002D4ED2" w:rsidRPr="00133684" w:rsidRDefault="002D4ED2" w:rsidP="00733246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851" w:type="dxa"/>
          </w:tcPr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85415C">
        <w:tc>
          <w:tcPr>
            <w:tcW w:w="3510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рыночной стоимости объектов собственности муниципального образования Тверской</w:t>
            </w:r>
            <w:proofErr w:type="gramEnd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«Весьегонский район»,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E72C89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0A0754" w:rsidP="000A07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0A0754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40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0A0754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61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0A0754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8F1F78" w:rsidRDefault="008F1F78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0A0754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2C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58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0A0754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  <w:r w:rsidR="008F1F7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D4ED2" w:rsidRPr="00370C22" w:rsidTr="0085415C">
        <w:tc>
          <w:tcPr>
            <w:tcW w:w="3510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D4ED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85415C">
        <w:tc>
          <w:tcPr>
            <w:tcW w:w="3510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D4ED2" w:rsidRPr="00E72C89" w:rsidRDefault="00E72C89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33246"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2D4ED2" w:rsidRPr="00E72C89" w:rsidRDefault="00E72C89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33246"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2D4ED2" w:rsidRPr="00E72C89" w:rsidRDefault="00E72C89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33246"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40" w:type="dxa"/>
          </w:tcPr>
          <w:p w:rsidR="002D4ED2" w:rsidRPr="00E72C89" w:rsidRDefault="00E72C89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33246"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61" w:type="dxa"/>
          </w:tcPr>
          <w:p w:rsidR="002D4ED2" w:rsidRPr="00E72C89" w:rsidRDefault="00E72C89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33246"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2D4ED2" w:rsidRPr="00E72C89" w:rsidRDefault="00E72C89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33246" w:rsidRPr="00E72C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58" w:type="dxa"/>
            <w:vAlign w:val="center"/>
          </w:tcPr>
          <w:p w:rsidR="002D4ED2" w:rsidRDefault="00E72C89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  <w:r w:rsidR="0073324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P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>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</w:t>
      </w:r>
      <w:r w:rsidR="00057E74">
        <w:rPr>
          <w:rFonts w:ascii="Times New Roman" w:hAnsi="Times New Roman" w:cs="Times New Roman"/>
          <w:b/>
          <w:sz w:val="24"/>
          <w:szCs w:val="24"/>
        </w:rPr>
        <w:t>»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651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="00917651"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66" w:rsidRDefault="00263566" w:rsidP="00263566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Тверской области «Весьегонский район»</w:t>
      </w:r>
      <w:r w:rsidRPr="00DC489C">
        <w:rPr>
          <w:rFonts w:ascii="Times New Roman" w:hAnsi="Times New Roman" w:cs="Times New Roman"/>
          <w:sz w:val="24"/>
          <w:szCs w:val="24"/>
        </w:rPr>
        <w:t>.</w:t>
      </w:r>
    </w:p>
    <w:p w:rsidR="00263566" w:rsidRDefault="00263566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567D" w:rsidRDefault="005B567D" w:rsidP="005B567D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район»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Pr="006A3CA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земельных участков, зарегистрированных в муниципальную собственность.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CAD" w:rsidRPr="00B5415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>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="00D24ED5">
        <w:rPr>
          <w:rFonts w:ascii="Times New Roman" w:hAnsi="Times New Roman" w:cs="Times New Roman"/>
          <w:sz w:val="24"/>
          <w:szCs w:val="24"/>
        </w:rPr>
        <w:t>»</w:t>
      </w:r>
      <w:r w:rsidR="00BC04DF"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»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D29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45" w:rsidRDefault="00D43A45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кадастровых паспортов на земельные участки.</w:t>
      </w:r>
    </w:p>
    <w:p w:rsidR="001C3CAA" w:rsidRDefault="001C3CAA" w:rsidP="001C3C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1C3CAA" w:rsidRDefault="001C3CAA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D43A45" w:rsidRPr="00082A7F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CAD" w:rsidRPr="00370C22" w:rsidRDefault="006A3CAD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920"/>
        <w:gridCol w:w="885"/>
        <w:gridCol w:w="993"/>
        <w:gridCol w:w="850"/>
        <w:gridCol w:w="851"/>
        <w:gridCol w:w="833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997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573F9A" w:rsidRDefault="00573F9A" w:rsidP="00997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73F9A" w:rsidRDefault="00573F9A" w:rsidP="00997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3F9A" w:rsidRDefault="00573F9A" w:rsidP="00997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997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997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Pr="00370C22" w:rsidRDefault="00E23419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муниципального образования Тверской области «Весьегонский район» 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0C7F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23419" w:rsidRPr="00685ABD" w:rsidRDefault="00E23419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содержания и сохранности муниципального жилищного фонда»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419" w:rsidRDefault="00E23419" w:rsidP="00E23419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19" w:rsidRPr="00E23419" w:rsidRDefault="00E23419" w:rsidP="00E23419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E7A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Pr="00E23419">
        <w:rPr>
          <w:rFonts w:ascii="Times New Roman" w:hAnsi="Times New Roman" w:cs="Times New Roman"/>
          <w:sz w:val="24"/>
          <w:szCs w:val="24"/>
        </w:rPr>
        <w:t>Обеспечение содержания и сохранности муниципального жилищного фонда»  связана с решением следующих задач:</w:t>
      </w:r>
    </w:p>
    <w:p w:rsidR="00E23419" w:rsidRPr="00E23419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«Реализация механизма проведения капитального ремонта общего имущества в многоквартирных домах </w:t>
      </w:r>
      <w:r w:rsidR="003C40B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89C">
        <w:rPr>
          <w:rFonts w:ascii="Times New Roman" w:hAnsi="Times New Roman" w:cs="Times New Roman"/>
          <w:sz w:val="24"/>
          <w:szCs w:val="24"/>
        </w:rPr>
        <w:t>.</w:t>
      </w:r>
    </w:p>
    <w:p w:rsidR="00E23419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19" w:rsidRDefault="00E23419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="003C40BF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E23419" w:rsidRDefault="00E23419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3C40BF">
        <w:rPr>
          <w:rFonts w:ascii="Times New Roman" w:hAnsi="Times New Roman" w:cs="Times New Roman"/>
          <w:sz w:val="24"/>
          <w:szCs w:val="24"/>
        </w:rPr>
        <w:t>многоквартирных жилых домов, в которых расположены жилые помещения, находящиеся в муниципальной собственности Весьегонского района</w:t>
      </w:r>
      <w:proofErr w:type="gramStart"/>
      <w:r w:rsidR="003C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419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419" w:rsidRPr="00B5415B" w:rsidRDefault="00E23419" w:rsidP="00E23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E23419" w:rsidRPr="00B5415B" w:rsidRDefault="00E23419" w:rsidP="00E23419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23419" w:rsidRPr="00B5415B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40BF">
        <w:rPr>
          <w:rFonts w:ascii="Times New Roman" w:hAnsi="Times New Roman" w:cs="Times New Roman"/>
          <w:sz w:val="24"/>
          <w:szCs w:val="24"/>
        </w:rPr>
        <w:t xml:space="preserve">Реализация механизма проведения капитального ремонта общего имущества в многоквартирных домах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3C40BF"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E23419" w:rsidRDefault="00E23419" w:rsidP="00E23419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3C40BF">
        <w:rPr>
          <w:rFonts w:ascii="Times New Roman" w:hAnsi="Times New Roman" w:cs="Times New Roman"/>
          <w:bCs/>
          <w:sz w:val="24"/>
          <w:szCs w:val="24"/>
        </w:rPr>
        <w:t xml:space="preserve">Уплата взносов на проведение капитального ремонта общего имущества в многоквартирных </w:t>
      </w:r>
      <w:r w:rsidR="001C00EA">
        <w:rPr>
          <w:rFonts w:ascii="Times New Roman" w:hAnsi="Times New Roman" w:cs="Times New Roman"/>
          <w:bCs/>
          <w:sz w:val="24"/>
          <w:szCs w:val="24"/>
        </w:rPr>
        <w:t>домах в части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b/>
          <w:bCs/>
        </w:rPr>
        <w:t xml:space="preserve"> </w:t>
      </w:r>
    </w:p>
    <w:p w:rsidR="00E23419" w:rsidRDefault="00E23419" w:rsidP="00E23419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1C00EA" w:rsidRPr="00E23419">
        <w:rPr>
          <w:rFonts w:ascii="Times New Roman" w:hAnsi="Times New Roman" w:cs="Times New Roman"/>
          <w:sz w:val="24"/>
          <w:szCs w:val="24"/>
        </w:rPr>
        <w:t>Обеспечение содержания и сохранности муниципального жилищного фонда</w:t>
      </w:r>
      <w:r w:rsidRPr="002635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E23419" w:rsidRDefault="00E23419" w:rsidP="00E23419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1C00EA">
        <w:rPr>
          <w:rFonts w:ascii="Times New Roman" w:hAnsi="Times New Roman" w:cs="Times New Roman"/>
          <w:bCs/>
          <w:sz w:val="24"/>
          <w:szCs w:val="24"/>
        </w:rPr>
        <w:t>Уплата взносов на проведение капитального ремонта общего имущества в многоквартирных домах в части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задачи 1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23419" w:rsidRDefault="00E23419" w:rsidP="00E23419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00EA">
        <w:rPr>
          <w:rFonts w:ascii="Times New Roman" w:hAnsi="Times New Roman" w:cs="Times New Roman"/>
          <w:bCs/>
          <w:sz w:val="24"/>
          <w:szCs w:val="24"/>
        </w:rPr>
        <w:t>Площадь жилых помещений муниципального жилого фонда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3419" w:rsidRPr="00082A7F" w:rsidRDefault="00E23419" w:rsidP="00E234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370C22" w:rsidRDefault="00E23419" w:rsidP="00E234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E23419" w:rsidRPr="00370C22" w:rsidRDefault="00E23419" w:rsidP="00E23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3419" w:rsidRPr="00370C22" w:rsidRDefault="00E23419" w:rsidP="00E234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C00EA">
        <w:rPr>
          <w:rFonts w:ascii="Times New Roman" w:hAnsi="Times New Roman" w:cs="Times New Roman"/>
          <w:bCs/>
          <w:sz w:val="24"/>
          <w:szCs w:val="24"/>
        </w:rPr>
        <w:t>351000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E23419" w:rsidRPr="00370C22" w:rsidRDefault="00E23419" w:rsidP="00E23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E23419" w:rsidRDefault="00E23419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8"/>
        <w:gridCol w:w="914"/>
        <w:gridCol w:w="881"/>
        <w:gridCol w:w="983"/>
        <w:gridCol w:w="848"/>
        <w:gridCol w:w="849"/>
        <w:gridCol w:w="832"/>
        <w:gridCol w:w="936"/>
      </w:tblGrid>
      <w:tr w:rsidR="00E23419" w:rsidRPr="00370C22" w:rsidTr="001C00EA">
        <w:tc>
          <w:tcPr>
            <w:tcW w:w="3328" w:type="dxa"/>
            <w:vMerge w:val="restart"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243" w:type="dxa"/>
            <w:gridSpan w:val="7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E23419" w:rsidRPr="00370C22" w:rsidTr="001C00EA">
        <w:trPr>
          <w:trHeight w:val="377"/>
        </w:trPr>
        <w:tc>
          <w:tcPr>
            <w:tcW w:w="3328" w:type="dxa"/>
            <w:vMerge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E23419" w:rsidRPr="00370C22" w:rsidRDefault="00E23419" w:rsidP="001C0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E23419" w:rsidRDefault="00E23419" w:rsidP="001C0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E23419" w:rsidRDefault="00E23419" w:rsidP="001C0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23419" w:rsidRDefault="00E23419" w:rsidP="001C0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E23419" w:rsidRPr="00370C22" w:rsidRDefault="00E23419" w:rsidP="001C0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:rsidR="00E23419" w:rsidRPr="00370C22" w:rsidRDefault="00E23419" w:rsidP="001C0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E23419" w:rsidRPr="00370C22" w:rsidTr="001C00EA">
        <w:trPr>
          <w:trHeight w:val="1883"/>
        </w:trPr>
        <w:tc>
          <w:tcPr>
            <w:tcW w:w="3328" w:type="dxa"/>
            <w:vAlign w:val="center"/>
          </w:tcPr>
          <w:p w:rsidR="00E23419" w:rsidRPr="00133684" w:rsidRDefault="00E23419" w:rsidP="001C0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взносов на проведение капитального ремонта общего имущества в многоквартирных домах в части муниципального жилищного фонда</w:t>
            </w:r>
            <w:proofErr w:type="gramStart"/>
            <w:r w:rsidR="001C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14" w:type="dxa"/>
          </w:tcPr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Pr="00370C22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81" w:type="dxa"/>
          </w:tcPr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983" w:type="dxa"/>
          </w:tcPr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48" w:type="dxa"/>
          </w:tcPr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49" w:type="dxa"/>
            <w:vAlign w:val="center"/>
          </w:tcPr>
          <w:p w:rsidR="00E23419" w:rsidRPr="00370C22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32" w:type="dxa"/>
            <w:vAlign w:val="center"/>
          </w:tcPr>
          <w:p w:rsidR="00E23419" w:rsidRPr="00370C22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936" w:type="dxa"/>
            <w:vAlign w:val="center"/>
          </w:tcPr>
          <w:p w:rsidR="00E23419" w:rsidRPr="00370C22" w:rsidRDefault="001C00EA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351000</w:t>
            </w:r>
          </w:p>
        </w:tc>
      </w:tr>
      <w:tr w:rsidR="001C00EA" w:rsidRPr="00370C22" w:rsidTr="001C00EA">
        <w:trPr>
          <w:trHeight w:val="1244"/>
        </w:trPr>
        <w:tc>
          <w:tcPr>
            <w:tcW w:w="3328" w:type="dxa"/>
            <w:vAlign w:val="center"/>
          </w:tcPr>
          <w:p w:rsidR="001C00EA" w:rsidRPr="00133684" w:rsidRDefault="001C00EA" w:rsidP="00E234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4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Pr="00370C22" w:rsidRDefault="00D22420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  <w:tc>
          <w:tcPr>
            <w:tcW w:w="881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983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48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49" w:type="dxa"/>
            <w:vAlign w:val="center"/>
          </w:tcPr>
          <w:p w:rsidR="001C00EA" w:rsidRPr="00370C22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832" w:type="dxa"/>
            <w:vAlign w:val="center"/>
          </w:tcPr>
          <w:p w:rsidR="001C00EA" w:rsidRPr="00370C22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58500</w:t>
            </w:r>
          </w:p>
        </w:tc>
        <w:tc>
          <w:tcPr>
            <w:tcW w:w="936" w:type="dxa"/>
            <w:vAlign w:val="center"/>
          </w:tcPr>
          <w:p w:rsidR="001C00EA" w:rsidRPr="00370C22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351000</w:t>
            </w:r>
          </w:p>
        </w:tc>
      </w:tr>
    </w:tbl>
    <w:p w:rsidR="00E13847" w:rsidRPr="008E447A" w:rsidRDefault="00E13847" w:rsidP="004F53C3">
      <w:pPr>
        <w:pStyle w:val="ConsPlusNormal"/>
        <w:widowControl/>
        <w:ind w:left="360" w:firstLine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05742A" w:rsidRPr="008E447A" w:rsidRDefault="00B9160F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EB6B8C">
        <w:rPr>
          <w:rFonts w:ascii="Times New Roman" w:hAnsi="Times New Roman" w:cs="Times New Roman"/>
          <w:noProof/>
          <w:sz w:val="24"/>
          <w:szCs w:val="24"/>
        </w:rPr>
        <w:t>1</w:t>
      </w:r>
      <w:r w:rsidR="00997A3A">
        <w:rPr>
          <w:rFonts w:ascii="Times New Roman" w:hAnsi="Times New Roman" w:cs="Times New Roman"/>
          <w:noProof/>
          <w:sz w:val="24"/>
          <w:szCs w:val="24"/>
        </w:rPr>
        <w:t>9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997A3A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997A3A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997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97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997A3A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997A3A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397225" w:rsidRPr="00082A7F" w:rsidRDefault="00397225" w:rsidP="00397225">
      <w:pPr>
        <w:pStyle w:val="1"/>
        <w:jc w:val="both"/>
        <w:rPr>
          <w:rFonts w:ascii="Times New Roman" w:hAnsi="Times New Roman" w:cs="Times New Roman"/>
        </w:rPr>
      </w:pP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7325C"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>главы администрации Весьегонского района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873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отношений и градостроительства администрации Весьегонского района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отношений и градостроительства администрации Весьегонского района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реализации и об оценке эффективности муниципальных программ год.</w:t>
      </w:r>
    </w:p>
    <w:p w:rsidR="001D05CE" w:rsidRPr="00B60BDC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E2">
        <w:rPr>
          <w:rFonts w:ascii="Times New Roman" w:hAnsi="Times New Roman" w:cs="Times New Roman"/>
          <w:sz w:val="24"/>
          <w:szCs w:val="24"/>
        </w:rPr>
        <w:t>Отдел имущественных отношений и градостроительства администрации Весьегонского района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07689E" w:rsidRPr="0007689E" w:rsidRDefault="0007689E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отношений и градостроительства администрации Весьегонского района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комитета </w:t>
      </w:r>
      <w:r w:rsidRPr="0050748D">
        <w:rPr>
          <w:rFonts w:ascii="Times New Roman" w:hAnsi="Times New Roman" w:cs="Times New Roman"/>
          <w:sz w:val="24"/>
          <w:szCs w:val="24"/>
        </w:rPr>
        <w:t>по управлению имуществом и земельными ресурсами администрации Весьегонского района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>специалистов комитета по</w:t>
      </w:r>
      <w:r w:rsidR="0050748D" w:rsidRPr="0050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sz w:val="24"/>
          <w:szCs w:val="24"/>
        </w:rPr>
        <w:t>управлению имуществом и земельными ресурсами администрации Весьегонского района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50748D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50748D" w:rsidRPr="0050748D">
        <w:rPr>
          <w:rFonts w:ascii="Times New Roman" w:hAnsi="Times New Roman" w:cs="Times New Roman"/>
          <w:sz w:val="24"/>
          <w:szCs w:val="24"/>
        </w:rPr>
        <w:t>по управлению имуществом и земельными ресурсами администрации Весьегонского района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87325C" w:rsidRPr="0055225D" w:rsidRDefault="0087325C" w:rsidP="008732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139" w:rsidRPr="0055225D" w:rsidRDefault="000B0139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0B0139" w:rsidRPr="0055225D" w:rsidSect="00B72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343A0"/>
    <w:rsid w:val="00052CD2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C357E"/>
    <w:rsid w:val="000C73A8"/>
    <w:rsid w:val="000C7DAA"/>
    <w:rsid w:val="000C7FBF"/>
    <w:rsid w:val="000D06A7"/>
    <w:rsid w:val="000D5B3E"/>
    <w:rsid w:val="000E7C65"/>
    <w:rsid w:val="00102225"/>
    <w:rsid w:val="0011348F"/>
    <w:rsid w:val="001151AC"/>
    <w:rsid w:val="001172C0"/>
    <w:rsid w:val="00120578"/>
    <w:rsid w:val="001242F3"/>
    <w:rsid w:val="00133684"/>
    <w:rsid w:val="00133BDB"/>
    <w:rsid w:val="00153393"/>
    <w:rsid w:val="001568AA"/>
    <w:rsid w:val="0016440B"/>
    <w:rsid w:val="00165AA8"/>
    <w:rsid w:val="00165FA1"/>
    <w:rsid w:val="00196A67"/>
    <w:rsid w:val="001A2F21"/>
    <w:rsid w:val="001A37E2"/>
    <w:rsid w:val="001A67E1"/>
    <w:rsid w:val="001B1F44"/>
    <w:rsid w:val="001C00EA"/>
    <w:rsid w:val="001C3CAA"/>
    <w:rsid w:val="001C55C8"/>
    <w:rsid w:val="001C684F"/>
    <w:rsid w:val="001D05CE"/>
    <w:rsid w:val="001D4853"/>
    <w:rsid w:val="001E0507"/>
    <w:rsid w:val="001E21DC"/>
    <w:rsid w:val="001E447F"/>
    <w:rsid w:val="001E4C95"/>
    <w:rsid w:val="001F0763"/>
    <w:rsid w:val="0020486A"/>
    <w:rsid w:val="0021075E"/>
    <w:rsid w:val="00215BEA"/>
    <w:rsid w:val="0021698B"/>
    <w:rsid w:val="0024422C"/>
    <w:rsid w:val="00263566"/>
    <w:rsid w:val="00275F94"/>
    <w:rsid w:val="00276B0A"/>
    <w:rsid w:val="00284DF0"/>
    <w:rsid w:val="00294DEF"/>
    <w:rsid w:val="00297344"/>
    <w:rsid w:val="002A3028"/>
    <w:rsid w:val="002A363A"/>
    <w:rsid w:val="002A4453"/>
    <w:rsid w:val="002A50DC"/>
    <w:rsid w:val="002C78BA"/>
    <w:rsid w:val="002D4ED2"/>
    <w:rsid w:val="00304E5A"/>
    <w:rsid w:val="003069B6"/>
    <w:rsid w:val="0031244A"/>
    <w:rsid w:val="00312C84"/>
    <w:rsid w:val="00316A73"/>
    <w:rsid w:val="00330991"/>
    <w:rsid w:val="00330CAD"/>
    <w:rsid w:val="0033774A"/>
    <w:rsid w:val="003520B7"/>
    <w:rsid w:val="00352282"/>
    <w:rsid w:val="00370C22"/>
    <w:rsid w:val="003715C8"/>
    <w:rsid w:val="00372283"/>
    <w:rsid w:val="0037611A"/>
    <w:rsid w:val="003845A6"/>
    <w:rsid w:val="003860F1"/>
    <w:rsid w:val="003862AD"/>
    <w:rsid w:val="00397225"/>
    <w:rsid w:val="003C2380"/>
    <w:rsid w:val="003C40BF"/>
    <w:rsid w:val="003C4DA5"/>
    <w:rsid w:val="003F4E0C"/>
    <w:rsid w:val="0040587F"/>
    <w:rsid w:val="004126C4"/>
    <w:rsid w:val="00414BFE"/>
    <w:rsid w:val="00416CE5"/>
    <w:rsid w:val="0045436A"/>
    <w:rsid w:val="00457FA2"/>
    <w:rsid w:val="00495BAC"/>
    <w:rsid w:val="0049700E"/>
    <w:rsid w:val="004A25A3"/>
    <w:rsid w:val="004B352F"/>
    <w:rsid w:val="004C518C"/>
    <w:rsid w:val="004E6A6C"/>
    <w:rsid w:val="004F53C3"/>
    <w:rsid w:val="0050633D"/>
    <w:rsid w:val="0050748D"/>
    <w:rsid w:val="0051141C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730C"/>
    <w:rsid w:val="005B567D"/>
    <w:rsid w:val="005C1C65"/>
    <w:rsid w:val="005D7270"/>
    <w:rsid w:val="005E2BDD"/>
    <w:rsid w:val="005E2DE1"/>
    <w:rsid w:val="005F2CFE"/>
    <w:rsid w:val="005F4BB5"/>
    <w:rsid w:val="0063434F"/>
    <w:rsid w:val="006406AC"/>
    <w:rsid w:val="00645706"/>
    <w:rsid w:val="0064675A"/>
    <w:rsid w:val="006502BB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F3C75"/>
    <w:rsid w:val="006F3C9C"/>
    <w:rsid w:val="00702C95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6E19"/>
    <w:rsid w:val="007963E0"/>
    <w:rsid w:val="007A433F"/>
    <w:rsid w:val="007C7E7C"/>
    <w:rsid w:val="00825693"/>
    <w:rsid w:val="00827D23"/>
    <w:rsid w:val="00827DE2"/>
    <w:rsid w:val="00833B57"/>
    <w:rsid w:val="00834205"/>
    <w:rsid w:val="00846233"/>
    <w:rsid w:val="00847166"/>
    <w:rsid w:val="0085415C"/>
    <w:rsid w:val="0087325C"/>
    <w:rsid w:val="008738FA"/>
    <w:rsid w:val="0087404A"/>
    <w:rsid w:val="008A2B18"/>
    <w:rsid w:val="008A5DC3"/>
    <w:rsid w:val="008A5E50"/>
    <w:rsid w:val="008B0FCA"/>
    <w:rsid w:val="008B6BFD"/>
    <w:rsid w:val="008B7835"/>
    <w:rsid w:val="008C2697"/>
    <w:rsid w:val="008C429A"/>
    <w:rsid w:val="008D3FC0"/>
    <w:rsid w:val="008E447A"/>
    <w:rsid w:val="008F1F78"/>
    <w:rsid w:val="008F32AA"/>
    <w:rsid w:val="008F422B"/>
    <w:rsid w:val="008F6F6D"/>
    <w:rsid w:val="009060FA"/>
    <w:rsid w:val="00916E8C"/>
    <w:rsid w:val="00917651"/>
    <w:rsid w:val="00923033"/>
    <w:rsid w:val="00926027"/>
    <w:rsid w:val="00933C5E"/>
    <w:rsid w:val="00943D9B"/>
    <w:rsid w:val="00955C96"/>
    <w:rsid w:val="009573C2"/>
    <w:rsid w:val="009622AA"/>
    <w:rsid w:val="00965C29"/>
    <w:rsid w:val="00973EBB"/>
    <w:rsid w:val="009822E8"/>
    <w:rsid w:val="00996AB3"/>
    <w:rsid w:val="00997A3A"/>
    <w:rsid w:val="009A1B4A"/>
    <w:rsid w:val="009A56C3"/>
    <w:rsid w:val="009B1AF5"/>
    <w:rsid w:val="009C79C6"/>
    <w:rsid w:val="009D1846"/>
    <w:rsid w:val="009D2CBD"/>
    <w:rsid w:val="009D3C2F"/>
    <w:rsid w:val="009D48B4"/>
    <w:rsid w:val="009E779C"/>
    <w:rsid w:val="009F39E3"/>
    <w:rsid w:val="00A005FD"/>
    <w:rsid w:val="00A32B10"/>
    <w:rsid w:val="00A35BF1"/>
    <w:rsid w:val="00A4400A"/>
    <w:rsid w:val="00A47EF9"/>
    <w:rsid w:val="00A516C6"/>
    <w:rsid w:val="00A63E8B"/>
    <w:rsid w:val="00A67AFE"/>
    <w:rsid w:val="00A80132"/>
    <w:rsid w:val="00A9596C"/>
    <w:rsid w:val="00AA58E2"/>
    <w:rsid w:val="00AA61A5"/>
    <w:rsid w:val="00AA62FB"/>
    <w:rsid w:val="00AB1172"/>
    <w:rsid w:val="00AB32F8"/>
    <w:rsid w:val="00AC392D"/>
    <w:rsid w:val="00AD6073"/>
    <w:rsid w:val="00AD7E69"/>
    <w:rsid w:val="00AE1B5D"/>
    <w:rsid w:val="00B03381"/>
    <w:rsid w:val="00B12A1D"/>
    <w:rsid w:val="00B20A73"/>
    <w:rsid w:val="00B20D15"/>
    <w:rsid w:val="00B21D29"/>
    <w:rsid w:val="00B32932"/>
    <w:rsid w:val="00B40E89"/>
    <w:rsid w:val="00B41320"/>
    <w:rsid w:val="00B4227A"/>
    <w:rsid w:val="00B5298C"/>
    <w:rsid w:val="00B5415B"/>
    <w:rsid w:val="00B6032F"/>
    <w:rsid w:val="00B60CFE"/>
    <w:rsid w:val="00B7272E"/>
    <w:rsid w:val="00B819DF"/>
    <w:rsid w:val="00B862C1"/>
    <w:rsid w:val="00B9160F"/>
    <w:rsid w:val="00B91E7A"/>
    <w:rsid w:val="00B94752"/>
    <w:rsid w:val="00B961CF"/>
    <w:rsid w:val="00BC04DF"/>
    <w:rsid w:val="00BC3BCE"/>
    <w:rsid w:val="00BC6620"/>
    <w:rsid w:val="00BD0FD3"/>
    <w:rsid w:val="00BD6E1B"/>
    <w:rsid w:val="00BE190D"/>
    <w:rsid w:val="00BE6945"/>
    <w:rsid w:val="00BF0688"/>
    <w:rsid w:val="00BF1734"/>
    <w:rsid w:val="00BF62D2"/>
    <w:rsid w:val="00C00F83"/>
    <w:rsid w:val="00C108A2"/>
    <w:rsid w:val="00C1722E"/>
    <w:rsid w:val="00C175A3"/>
    <w:rsid w:val="00C310D2"/>
    <w:rsid w:val="00C3656E"/>
    <w:rsid w:val="00C45DC9"/>
    <w:rsid w:val="00C500C9"/>
    <w:rsid w:val="00C75546"/>
    <w:rsid w:val="00C92FAD"/>
    <w:rsid w:val="00CA0D71"/>
    <w:rsid w:val="00CA48D5"/>
    <w:rsid w:val="00CA6B4D"/>
    <w:rsid w:val="00CB0E0B"/>
    <w:rsid w:val="00CB1812"/>
    <w:rsid w:val="00CB4F5E"/>
    <w:rsid w:val="00CC4669"/>
    <w:rsid w:val="00CD5377"/>
    <w:rsid w:val="00CE7B7E"/>
    <w:rsid w:val="00CF5E0D"/>
    <w:rsid w:val="00D00CDC"/>
    <w:rsid w:val="00D00ECB"/>
    <w:rsid w:val="00D1122C"/>
    <w:rsid w:val="00D1270E"/>
    <w:rsid w:val="00D22420"/>
    <w:rsid w:val="00D24ED5"/>
    <w:rsid w:val="00D300CC"/>
    <w:rsid w:val="00D37D1F"/>
    <w:rsid w:val="00D43A45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12755"/>
    <w:rsid w:val="00E13847"/>
    <w:rsid w:val="00E23419"/>
    <w:rsid w:val="00E301D9"/>
    <w:rsid w:val="00E41F47"/>
    <w:rsid w:val="00E42DC7"/>
    <w:rsid w:val="00E46486"/>
    <w:rsid w:val="00E53E59"/>
    <w:rsid w:val="00E54A59"/>
    <w:rsid w:val="00E62773"/>
    <w:rsid w:val="00E63A1C"/>
    <w:rsid w:val="00E72C89"/>
    <w:rsid w:val="00E876B9"/>
    <w:rsid w:val="00E91354"/>
    <w:rsid w:val="00E9448C"/>
    <w:rsid w:val="00E97263"/>
    <w:rsid w:val="00EA3749"/>
    <w:rsid w:val="00EB6B8C"/>
    <w:rsid w:val="00EB7BA7"/>
    <w:rsid w:val="00ED7577"/>
    <w:rsid w:val="00EE30DD"/>
    <w:rsid w:val="00EE4F3B"/>
    <w:rsid w:val="00EE7DB1"/>
    <w:rsid w:val="00EF183E"/>
    <w:rsid w:val="00F02977"/>
    <w:rsid w:val="00F22C97"/>
    <w:rsid w:val="00F34E21"/>
    <w:rsid w:val="00F46322"/>
    <w:rsid w:val="00F62135"/>
    <w:rsid w:val="00F80D65"/>
    <w:rsid w:val="00FA1EE8"/>
    <w:rsid w:val="00FA4AC7"/>
    <w:rsid w:val="00FA7E2B"/>
    <w:rsid w:val="00FB59DA"/>
    <w:rsid w:val="00FB6553"/>
    <w:rsid w:val="00FB65A2"/>
    <w:rsid w:val="00FC1BD0"/>
    <w:rsid w:val="00FC1E4A"/>
    <w:rsid w:val="00FD7330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02C3-4B78-4F7D-8E51-BB55C18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18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34</cp:revision>
  <cp:lastPrinted>2019-01-17T06:01:00Z</cp:lastPrinted>
  <dcterms:created xsi:type="dcterms:W3CDTF">2014-10-13T07:09:00Z</dcterms:created>
  <dcterms:modified xsi:type="dcterms:W3CDTF">2019-01-17T06:01:00Z</dcterms:modified>
</cp:coreProperties>
</file>