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media/image3.png" ContentType="image/png"/>
  <Override PartName="/word/media/image1.tif" ContentType="image/tiff"/>
  <Override PartName="/word/media/image4.png" ContentType="image/png"/>
  <Override PartName="/word/media/image2.tif" ContentType="image/tiff"/>
  <Override PartName="/word/media/image5.png" ContentType="image/png"/>
  <Override PartName="/word/media/image6.png" ContentType="image/png"/>
  <Override PartName="/word/media/image7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5" wp14:anchorId="534C51E3">
                <wp:simplePos x="0" y="0"/>
                <wp:positionH relativeFrom="margin">
                  <wp:posOffset>318135</wp:posOffset>
                </wp:positionH>
                <wp:positionV relativeFrom="page">
                  <wp:posOffset>6054725</wp:posOffset>
                </wp:positionV>
                <wp:extent cx="5606415" cy="3672840"/>
                <wp:effectExtent l="0" t="0" r="0" b="952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920" cy="36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Отчет о Ресурсной Базе Производителя Биомассы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ООО «ТехноАрс»</w:t>
                            </w:r>
                          </w:p>
                          <w:p>
                            <w:pPr>
                              <w:pStyle w:val="Style22"/>
                              <w:rPr>
                                <w:color w:val="8AB059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color w:val="8AB059"/>
                                <w:sz w:val="36"/>
                                <w:szCs w:val="36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6"/>
                              <w:rPr>
                                <w:color w:val="3D946D"/>
                              </w:rPr>
                            </w:pPr>
                            <w:r>
                              <w:rPr>
                                <w:color w:val="3D946D"/>
                              </w:rPr>
                              <w:t>www.sbp-cert.org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5.05pt;margin-top:476.75pt;width:441.35pt;height:289.1pt;mso-position-horizontal-relative:margin;mso-position-vertical-relative:page" wp14:anchorId="534C51E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Отчет о Ресурсной Базе Производителя Биомассы</w:t>
                      </w:r>
                    </w:p>
                    <w:p>
                      <w:pPr>
                        <w:pStyle w:val="Style22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ООО «ТехноАрс»</w:t>
                      </w:r>
                    </w:p>
                    <w:p>
                      <w:pPr>
                        <w:pStyle w:val="Style22"/>
                        <w:rPr>
                          <w:color w:val="8AB059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color w:val="8AB059"/>
                          <w:sz w:val="36"/>
                          <w:szCs w:val="36"/>
                          <w:lang w:val="ru-RU"/>
                        </w:rPr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6"/>
                        <w:rPr>
                          <w:color w:val="3D946D"/>
                        </w:rPr>
                      </w:pPr>
                      <w:r>
                        <w:rPr>
                          <w:color w:val="3D946D"/>
                        </w:rPr>
                        <w:t>www.sbp-cert.org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01327006">
                <wp:simplePos x="0" y="0"/>
                <wp:positionH relativeFrom="page">
                  <wp:posOffset>971550</wp:posOffset>
                </wp:positionH>
                <wp:positionV relativeFrom="page">
                  <wp:posOffset>3933825</wp:posOffset>
                </wp:positionV>
                <wp:extent cx="5607050" cy="5721350"/>
                <wp:effectExtent l="0" t="0" r="0" b="0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280" cy="572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eastAsia="" w:cs="" w:ascii="Georgia" w:hAnsi="Georgia" w:cstheme="majorBidi" w:eastAsiaTheme="majorEastAsia"/>
                                <w:color w:val="3D946D"/>
                                <w:spacing w:val="5"/>
                                <w:kern w:val="2"/>
                                <w:sz w:val="40"/>
                                <w:szCs w:val="40"/>
                              </w:rPr>
                              <w:t>Выполнено в соответствии с шаблоном Отчета о ресурсной базе версия 1.3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Больше информации по структуре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lang w:val="en-US"/>
                              </w:rPr>
                              <w:t>SBP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и полный комплект документов доступны на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hyperlink r:id="rId2">
                              <w:r>
                                <w:rPr>
                                  <w:rStyle w:val="Style13"/>
                                  <w:i/>
                                  <w:color w:val="0B6F3E" w:themeColor="hyperlink"/>
                                  <w:u w:val="single"/>
                                </w:rPr>
                                <w:t>www.sbp-cert.org</w:t>
                              </w:r>
                            </w:hyperlink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История документов</w:t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Версия 1.0: опубликована 26 марта 2015 года</w:t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Версия 1.1, опубликована 22 февраля 2016 года</w:t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Версия 1.2, опубликована 23 июня 2016 года</w:t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Версия 1.3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опубликована </w:t>
                            </w:r>
                            <w:r>
                              <w:rPr>
                                <w:i/>
                              </w:rPr>
                              <w:t>14 января 2019 года</w:t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6"/>
                              <w:rPr>
                                <w:i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© Авторское право ограничено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lang w:val="en-US"/>
                              </w:rPr>
                              <w:t>Sustainable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lang w:val="en-US"/>
                              </w:rPr>
                              <w:t>Biomass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lang w:val="en-US"/>
                              </w:rPr>
                              <w:t>Program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76.5pt;margin-top:309.75pt;width:441.4pt;height:450.4pt;mso-position-horizontal-relative:page;mso-position-vertical-relative:page" wp14:anchorId="0132700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rPr>
                          <w:b/>
                          <w:b/>
                        </w:rPr>
                      </w:pPr>
                      <w:r>
                        <w:rPr>
                          <w:rFonts w:eastAsia="" w:cs="" w:ascii="Georgia" w:hAnsi="Georgia" w:cstheme="majorBidi" w:eastAsiaTheme="majorEastAsia"/>
                          <w:color w:val="3D946D"/>
                          <w:spacing w:val="5"/>
                          <w:kern w:val="2"/>
                          <w:sz w:val="40"/>
                          <w:szCs w:val="40"/>
                        </w:rPr>
                        <w:t>Выполнено в соответствии с шаблоном Отчета о ресурсной базе версия 1.3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 xml:space="preserve">Больше информации по структуре </w:t>
                      </w:r>
                      <w:r>
                        <w:rPr>
                          <w:i/>
                          <w:iCs/>
                          <w:color w:val="000000"/>
                          <w:lang w:val="en-US"/>
                        </w:rPr>
                        <w:t>SBP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 и полный комплект документов доступны на</w:t>
                      </w:r>
                    </w:p>
                    <w:p>
                      <w:pPr>
                        <w:pStyle w:val="Style26"/>
                        <w:rPr/>
                      </w:pPr>
                      <w:hyperlink r:id="rId3">
                        <w:r>
                          <w:rPr>
                            <w:rStyle w:val="Style13"/>
                            <w:i/>
                            <w:color w:val="0B6F3E" w:themeColor="hyperlink"/>
                            <w:u w:val="single"/>
                          </w:rPr>
                          <w:t>www.sbp-cert.org</w:t>
                        </w:r>
                      </w:hyperlink>
                    </w:p>
                    <w:p>
                      <w:pPr>
                        <w:pStyle w:val="Style26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</w:t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История документов</w:t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Версия 1.0: опубликована 26 марта 2015 года</w:t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Версия 1.1, опубликована 22 февраля 2016 года</w:t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Версия 1.2, опубликована 23 июня 2016 года</w:t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  <w:t xml:space="preserve">Версия 1.3 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опубликована </w:t>
                      </w:r>
                      <w:r>
                        <w:rPr>
                          <w:i/>
                        </w:rPr>
                        <w:t>14 января 2019 года</w:t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</w:r>
                    </w:p>
                    <w:p>
                      <w:pPr>
                        <w:pStyle w:val="Style26"/>
                        <w:rPr>
                          <w:i/>
                          <w:i/>
                          <w:iCs/>
                          <w:color w:val="000000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 xml:space="preserve">© Авторское право ограничено </w:t>
                      </w:r>
                      <w:r>
                        <w:rPr>
                          <w:i/>
                          <w:iCs/>
                          <w:color w:val="000000"/>
                          <w:lang w:val="en-US"/>
                        </w:rPr>
                        <w:t>Sustainable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lang w:val="en-US"/>
                        </w:rPr>
                        <w:t>Biomass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lang w:val="en-US"/>
                        </w:rPr>
                        <w:t>Program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 201</w:t>
                      </w:r>
                      <w:r>
                        <w:rPr>
                          <w:i/>
                          <w:iCs/>
                          <w:color w:val="000000"/>
                          <w:lang w:val="en-US"/>
                        </w:rPr>
                        <w:t>9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  <w:id w:val="508653901"/>
      </w:sdtPr>
      <w:sdtContent>
        <w:p>
          <w:pPr>
            <w:pStyle w:val="TOCHeading"/>
            <w:rPr/>
          </w:pPr>
          <w:r>
            <w:rPr>
              <w:lang w:val="ru-RU"/>
            </w:rPr>
            <w:t>Содержание</w:t>
          </w:r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76674541">
            <w:r>
              <w:rPr>
                <w:webHidden/>
                <w:rStyle w:val="Style15"/>
                <w:vanish w:val="false"/>
              </w:rPr>
              <w:t>1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Обзор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_Toc476674541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42">
            <w:r>
              <w:rPr>
                <w:webHidden/>
                <w:rStyle w:val="Style15"/>
                <w:vanish w:val="false"/>
              </w:rPr>
              <w:t>2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Описание Ресурсной Базы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_Toc476674542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43">
            <w:r>
              <w:rPr>
                <w:webHidden/>
                <w:rStyle w:val="Style15"/>
                <w:vanish w:val="false"/>
                <w:lang w:val="ru-RU"/>
              </w:rPr>
              <w:t>2.1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Общее описание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_Toc476674543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44">
            <w:r>
              <w:rPr>
                <w:webHidden/>
                <w:rStyle w:val="Style15"/>
                <w:vanish w:val="false"/>
                <w:lang w:val="ru-RU"/>
              </w:rPr>
              <w:t>2.2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Предпринятые действия для продвижения сертификации среди поставщиков сырья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_Toc476674544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45">
            <w:r>
              <w:rPr>
                <w:webHidden/>
                <w:rStyle w:val="Style15"/>
                <w:vanish w:val="false"/>
                <w:lang w:val="ru-RU"/>
              </w:rPr>
              <w:t>2.3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Программа определения доли древесины, полученной от рубок главного пользования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_Toc476674545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46">
            <w:r>
              <w:rPr>
                <w:webHidden/>
                <w:rStyle w:val="Style15"/>
                <w:vanish w:val="false"/>
                <w:lang w:val="ru-RU"/>
              </w:rPr>
              <w:t>2.4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Диаграмма потоков входящего сырья с указанием тип сырья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_Toc476674546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47">
            <w:r>
              <w:rPr>
                <w:webHidden/>
                <w:rStyle w:val="Style15"/>
                <w:vanish w:val="false"/>
                <w:lang w:val="ru-RU"/>
              </w:rPr>
              <w:t>2.5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Количественное определение ресурсной базы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_Toc476674547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48">
            <w:r>
              <w:rPr>
                <w:webHidden/>
                <w:rStyle w:val="Style15"/>
                <w:vanish w:val="false"/>
              </w:rPr>
              <w:t>3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Оценка Ресурсной Базы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_Toc476674548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49">
            <w:r>
              <w:rPr>
                <w:webHidden/>
                <w:rStyle w:val="Style15"/>
                <w:vanish w:val="false"/>
                <w:lang w:val="ru-RU"/>
              </w:rPr>
              <w:t>4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Оценка ресурсной базы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_Toc476674549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50">
            <w:r>
              <w:rPr>
                <w:webHidden/>
                <w:rStyle w:val="Style15"/>
                <w:vanish w:val="false"/>
                <w:lang w:val="ru-RU"/>
              </w:rPr>
              <w:t>4.1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Область оценки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_Toc476674550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51">
            <w:r>
              <w:rPr>
                <w:webHidden/>
                <w:rStyle w:val="Style15"/>
                <w:vanish w:val="false"/>
                <w:lang w:val="ru-RU"/>
              </w:rPr>
              <w:t>4.2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Обоснование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_Toc476674551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52">
            <w:r>
              <w:rPr>
                <w:webHidden/>
                <w:rStyle w:val="Style15"/>
                <w:vanish w:val="false"/>
              </w:rPr>
              <w:t>4.3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Результаты оценки рисков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_Toc476674552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53">
            <w:r>
              <w:rPr>
                <w:webHidden/>
                <w:rStyle w:val="Style15"/>
                <w:vanish w:val="false"/>
              </w:rPr>
              <w:t>4.4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Результаты Программы Проверки Поставщиков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_Toc476674553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54">
            <w:r>
              <w:rPr>
                <w:webHidden/>
                <w:rStyle w:val="Style15"/>
                <w:vanish w:val="false"/>
              </w:rPr>
              <w:t>4.5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Выводы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_Toc476674554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55">
            <w:r>
              <w:rPr>
                <w:webHidden/>
                <w:rStyle w:val="Style15"/>
                <w:vanish w:val="false"/>
              </w:rPr>
              <w:t>5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Процесс Оценки Ресурсной Базы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_Toc476674555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56">
            <w:r>
              <w:rPr>
                <w:webHidden/>
                <w:rStyle w:val="Style15"/>
                <w:vanish w:val="false"/>
              </w:rPr>
              <w:t>6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Консультации заинтересованных сторон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_Toc476674556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57">
            <w:r>
              <w:rPr>
                <w:webHidden/>
                <w:rStyle w:val="Style15"/>
                <w:vanish w:val="false"/>
                <w:lang w:val="ru-RU"/>
              </w:rPr>
              <w:t>6.1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Ответ на комментарии заинтересованных сторон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_Toc476674557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58">
            <w:r>
              <w:rPr>
                <w:webHidden/>
                <w:rStyle w:val="Style15"/>
                <w:vanish w:val="false"/>
                <w:lang w:val="ru-RU"/>
              </w:rPr>
              <w:t>7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Обзор</w:t>
            </w:r>
            <w:r>
              <w:rPr>
                <w:rStyle w:val="Style15"/>
                <w:lang w:val="en-US"/>
              </w:rPr>
              <w:t xml:space="preserve"> </w:t>
            </w:r>
            <w:r>
              <w:rPr>
                <w:rStyle w:val="Style15"/>
                <w:lang w:val="ru-RU"/>
              </w:rPr>
              <w:t>первоначальной</w:t>
            </w:r>
            <w:r>
              <w:rPr>
                <w:rStyle w:val="Style15"/>
                <w:lang w:val="en-US"/>
              </w:rPr>
              <w:t xml:space="preserve"> </w:t>
            </w:r>
            <w:r>
              <w:rPr>
                <w:rStyle w:val="Style15"/>
                <w:lang w:val="ru-RU"/>
              </w:rPr>
              <w:t>оценки</w:t>
            </w:r>
            <w:r>
              <w:rPr>
                <w:rStyle w:val="Style15"/>
                <w:lang w:val="en-US"/>
              </w:rPr>
              <w:t xml:space="preserve"> </w:t>
            </w:r>
            <w:r>
              <w:rPr>
                <w:rStyle w:val="Style15"/>
                <w:lang w:val="ru-RU"/>
              </w:rPr>
              <w:t>рисков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_Toc476674558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59">
            <w:r>
              <w:rPr>
                <w:webHidden/>
                <w:rStyle w:val="Style15"/>
                <w:vanish w:val="false"/>
              </w:rPr>
              <w:t>8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Программа Проверки Поставщиков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_Toc476674559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60">
            <w:r>
              <w:rPr>
                <w:webHidden/>
                <w:rStyle w:val="Style15"/>
                <w:vanish w:val="false"/>
              </w:rPr>
              <w:t>8.1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Описание Программы Проверки Поставщиков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_Toc476674560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61">
            <w:r>
              <w:rPr>
                <w:webHidden/>
                <w:rStyle w:val="Style15"/>
                <w:vanish w:val="false"/>
              </w:rPr>
              <w:t>8.2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Посещение площадок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_Toc476674561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62">
            <w:r>
              <w:rPr>
                <w:webHidden/>
                <w:rStyle w:val="Style15"/>
                <w:vanish w:val="false"/>
              </w:rPr>
              <w:t>8.3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Выводы Программы Проверки Поставщиков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_Toc476674562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63">
            <w:r>
              <w:rPr>
                <w:webHidden/>
                <w:rStyle w:val="Style15"/>
                <w:vanish w:val="false"/>
                <w:lang w:val="ru-RU"/>
              </w:rPr>
              <w:t>9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Меры по снижению уровня риска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_Toc476674563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64">
            <w:r>
              <w:rPr>
                <w:webHidden/>
                <w:rStyle w:val="Style15"/>
                <w:vanish w:val="false"/>
                <w:lang w:val="ru-RU"/>
              </w:rPr>
              <w:t>9.1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Меры по снижению уровня риска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_Toc476674564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65">
            <w:r>
              <w:rPr>
                <w:webHidden/>
                <w:rStyle w:val="Style15"/>
                <w:vanish w:val="false"/>
              </w:rPr>
              <w:t>9.2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Мониторинг и результаты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_Toc476674565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66">
            <w:r>
              <w:rPr>
                <w:webHidden/>
                <w:rStyle w:val="Style15"/>
                <w:vanish w:val="false"/>
              </w:rPr>
              <w:t>10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Детальные результаты по индикаторам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_Toc476674566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67">
            <w:r>
              <w:rPr>
                <w:webHidden/>
                <w:rStyle w:val="Style15"/>
                <w:vanish w:val="false"/>
              </w:rPr>
              <w:t>11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Рецензия отчета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_Toc476674567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68">
            <w:r>
              <w:rPr>
                <w:webHidden/>
                <w:rStyle w:val="Style15"/>
                <w:vanish w:val="false"/>
              </w:rPr>
              <w:t>11.1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Экспертная оценка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_Toc476674568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69">
            <w:r>
              <w:rPr>
                <w:webHidden/>
                <w:rStyle w:val="Style15"/>
                <w:vanish w:val="false"/>
              </w:rPr>
              <w:t>11.2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Общественная и дополнительная оценка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_Toc476674569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70">
            <w:r>
              <w:rPr>
                <w:webHidden/>
                <w:rStyle w:val="Style15"/>
                <w:vanish w:val="false"/>
              </w:rPr>
              <w:t>12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Утверждение отчета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_Toc476674570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eastAsia="" w:eastAsiaTheme="minorEastAsia"/>
              <w:b w:val="false"/>
              <w:b w:val="false"/>
              <w:sz w:val="24"/>
              <w:szCs w:val="24"/>
              <w:lang w:val="ru-RU" w:eastAsia="ru-RU"/>
            </w:rPr>
          </w:pPr>
          <w:hyperlink w:anchor="_Toc476674571">
            <w:r>
              <w:rPr>
                <w:webHidden/>
                <w:rStyle w:val="Style15"/>
                <w:vanish w:val="false"/>
              </w:rPr>
              <w:t>13</w:t>
            </w:r>
            <w:r>
              <w:rPr>
                <w:rStyle w:val="Style15"/>
                <w:rFonts w:eastAsia="" w:eastAsiaTheme="minorEastAsia"/>
                <w:b w:val="false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Обновления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_Toc476674571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72">
            <w:r>
              <w:rPr>
                <w:webHidden/>
                <w:rStyle w:val="Style15"/>
                <w:vanish w:val="false"/>
                <w:lang w:val="ru-RU"/>
              </w:rPr>
              <w:t>13.1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Значительные изменения в ресурсной базе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_Toc476674572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73">
            <w:r>
              <w:rPr>
                <w:webHidden/>
                <w:rStyle w:val="Style15"/>
                <w:vanish w:val="false"/>
                <w:lang w:val="ru-RU"/>
              </w:rPr>
              <w:t>13.2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Эффективность предыдущих мер по снижению уровня риска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_Toc476674573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74">
            <w:r>
              <w:rPr>
                <w:webHidden/>
                <w:rStyle w:val="Style15"/>
                <w:vanish w:val="false"/>
                <w:lang w:val="ru-RU"/>
              </w:rPr>
              <w:t>13.3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Новые уровни риска и меры по их снижению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_Toc476674574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75">
            <w:r>
              <w:rPr>
                <w:webHidden/>
                <w:rStyle w:val="Style15"/>
                <w:vanish w:val="false"/>
                <w:lang w:val="ru-RU"/>
              </w:rPr>
              <w:t>13.4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Актуальные данные по сырью за последние 12 месяцев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_Toc476674575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rPr>
              <w:rFonts w:eastAsia="" w:eastAsiaTheme="minorEastAsia"/>
              <w:sz w:val="24"/>
              <w:szCs w:val="24"/>
              <w:lang w:val="ru-RU" w:eastAsia="ru-RU"/>
            </w:rPr>
          </w:pPr>
          <w:hyperlink w:anchor="_Toc476674576">
            <w:r>
              <w:rPr>
                <w:webHidden/>
                <w:rStyle w:val="Style15"/>
                <w:vanish w:val="false"/>
                <w:lang w:val="ru-RU"/>
              </w:rPr>
              <w:t>13.5</w:t>
            </w:r>
            <w:r>
              <w:rPr>
                <w:rStyle w:val="Style15"/>
                <w:rFonts w:eastAsia="" w:eastAsiaTheme="minorEastAsia"/>
                <w:sz w:val="24"/>
                <w:szCs w:val="24"/>
                <w:lang w:val="ru-RU" w:eastAsia="ru-RU"/>
              </w:rPr>
              <w:tab/>
            </w:r>
            <w:r>
              <w:rPr>
                <w:rStyle w:val="Style15"/>
                <w:lang w:val="ru-RU"/>
              </w:rPr>
              <w:t>Ожидаемые данные по сырью за следующие 12 месяцев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_Toc476674576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fldChar w:fldCharType="end"/>
          </w:r>
        </w:p>
        <w:p>
          <w:pPr>
            <w:pStyle w:val="1"/>
            <w:numPr>
              <w:ilvl w:val="0"/>
              <w:numId w:val="2"/>
            </w:numPr>
            <w:ind w:left="851" w:hanging="851"/>
            <w:rPr/>
          </w:pPr>
          <w:bookmarkStart w:id="0" w:name="_Toc476674541"/>
          <w:bookmarkEnd w:id="0"/>
          <w:r>
            <w:rPr/>
            <w:t>Обзор</w:t>
          </w:r>
        </w:p>
        <w:p>
          <w:pPr>
            <w:pStyle w:val="Normal"/>
            <w:rPr/>
          </w:pPr>
          <w:r>
            <w:rPr/>
            <w:t xml:space="preserve">Название производителя: </w:t>
            <w:tab/>
            <w:tab/>
            <w:t>Общество с ограниченной ответственностью «ТехноАрс»</w:t>
          </w:r>
        </w:p>
        <w:p>
          <w:pPr>
            <w:pStyle w:val="Normal"/>
            <w:ind w:left="3600" w:hanging="3600"/>
            <w:rPr/>
          </w:pPr>
          <w:r>
            <w:rPr/>
            <w:t>Местоположение производителя:</w:t>
            <w:tab/>
            <w:t>171720 г. Весьегонск Тверской области, ул. Советская д.114</w:t>
          </w:r>
        </w:p>
        <w:p>
          <w:pPr>
            <w:pStyle w:val="Normal"/>
            <w:rPr/>
          </w:pPr>
          <w:r>
            <w:rPr/>
            <w:t>Географическое расположение:</w:t>
            <w:tab/>
            <w:t>58°3</w:t>
          </w:r>
          <w:r>
            <w:rPr>
              <w:lang w:val="en-US"/>
            </w:rPr>
            <w:t>8</w:t>
          </w:r>
          <w:r>
            <w:rPr/>
            <w:t>′</w:t>
          </w:r>
          <w:r>
            <w:rPr>
              <w:lang w:val="en-US"/>
            </w:rPr>
            <w:t>59</w:t>
          </w:r>
          <w:r>
            <w:rPr/>
            <w:t>″N, 37°1</w:t>
          </w:r>
          <w:r>
            <w:rPr>
              <w:lang w:val="en-US"/>
            </w:rPr>
            <w:t>4</w:t>
          </w:r>
          <w:r>
            <w:rPr/>
            <w:t>′</w:t>
          </w:r>
          <w:r>
            <w:rPr>
              <w:lang w:val="en-US"/>
            </w:rPr>
            <w:t>41</w:t>
          </w:r>
          <w:r>
            <w:rPr/>
            <w:t xml:space="preserve">″E </w:t>
          </w:r>
        </w:p>
        <w:p>
          <w:pPr>
            <w:pStyle w:val="Normal"/>
            <w:spacing w:lineRule="auto" w:line="288"/>
            <w:rPr/>
          </w:pPr>
          <w:r>
            <w:rPr/>
            <w:t>Контактное лицо:</w:t>
            <w:tab/>
            <w:t xml:space="preserve">                        Брылев Игорь Валерьевич, ул. Советская д.114, г. </w:t>
            <w:tab/>
            <w:tab/>
            <w:tab/>
            <w:tab/>
            <w:tab/>
            <w:tab/>
            <w:t xml:space="preserve">Весьегонск, Тверская область, Россия, 171720, </w:t>
          </w:r>
        </w:p>
        <w:p>
          <w:pPr>
            <w:pStyle w:val="Normal"/>
            <w:spacing w:lineRule="auto" w:line="288"/>
            <w:ind w:left="2880" w:firstLine="720"/>
            <w:rPr/>
          </w:pPr>
          <w:r>
            <w:rPr/>
            <w:t xml:space="preserve">тел. +7-48264-21132, </w:t>
          </w:r>
          <w:r>
            <w:rPr>
              <w:lang w:val="en-US"/>
            </w:rPr>
            <w:t>ooolaguna</w:t>
          </w:r>
          <w:r>
            <w:rPr/>
            <w:t>@</w:t>
          </w:r>
          <w:r>
            <w:rPr>
              <w:lang w:val="en-US"/>
            </w:rPr>
            <w:t>inbox</w:t>
          </w:r>
          <w:r>
            <w:rPr/>
            <w:t>.</w:t>
          </w:r>
          <w:r>
            <w:rPr>
              <w:lang w:val="en-US"/>
            </w:rPr>
            <w:t>ru</w:t>
          </w:r>
        </w:p>
        <w:p>
          <w:pPr>
            <w:pStyle w:val="Normal"/>
            <w:rPr/>
          </w:pPr>
          <w:r>
            <w:rPr/>
            <w:t>Веб-сайт компании:</w:t>
            <w:tab/>
            <w:tab/>
            <w:tab/>
            <w:t>http://www.vesegonsk.ru</w:t>
          </w:r>
        </w:p>
        <w:p>
          <w:pPr>
            <w:pStyle w:val="Normal"/>
            <w:ind w:left="3600" w:hanging="3600"/>
            <w:rPr/>
          </w:pPr>
          <w:r>
            <w:rPr/>
            <w:t>Дата окончания Отчета:</w:t>
            <w:tab/>
          </w:r>
          <w:r>
            <w:rPr>
              <w:lang w:val="en-US"/>
            </w:rPr>
            <w:t>18.</w:t>
          </w:r>
          <w:r>
            <w:rPr>
              <w:highlight w:val="white"/>
              <w:lang w:val="en-US"/>
            </w:rPr>
            <w:t>03.2020</w:t>
          </w:r>
        </w:p>
        <w:p>
          <w:pPr>
            <w:pStyle w:val="Normal"/>
            <w:rPr/>
          </w:pPr>
          <w:r>
            <w:rPr/>
            <w:t xml:space="preserve">Закрытие последнего аудита, </w:t>
          </w:r>
        </w:p>
        <w:p>
          <w:pPr>
            <w:pStyle w:val="Normal"/>
            <w:rPr/>
          </w:pPr>
          <w:r>
            <w:rPr/>
            <w:t>проведенного ОС:</w:t>
            <w:tab/>
            <w:tab/>
            <w:tab/>
          </w:r>
          <w:r>
            <w:rPr>
              <w:highlight w:val="white"/>
              <w:lang w:val="en-US"/>
            </w:rPr>
            <w:t>19.03.2020</w:t>
          </w:r>
          <w:r>
            <w:rPr>
              <w:highlight w:val="white"/>
            </w:rPr>
            <w:t xml:space="preserve">, Весьегонск </w:t>
          </w:r>
        </w:p>
        <w:p>
          <w:pPr>
            <w:pStyle w:val="Normal"/>
            <w:rPr/>
          </w:pPr>
          <w:r>
            <w:rPr/>
            <w:t>Название ОС:</w:t>
            <w:tab/>
            <w:tab/>
            <w:tab/>
            <w:tab/>
          </w:r>
          <w:r>
            <w:rPr>
              <w:lang w:val="en-US"/>
            </w:rPr>
            <w:t>NEPCon</w:t>
          </w:r>
          <w:r>
            <w:rPr/>
            <w:t xml:space="preserve"> </w:t>
          </w:r>
          <w:r>
            <w:rPr>
              <w:lang w:val="en-US"/>
            </w:rPr>
            <w:t>OU</w:t>
          </w:r>
        </w:p>
        <w:p>
          <w:pPr>
            <w:pStyle w:val="Normal"/>
            <w:rPr/>
          </w:pPr>
          <w:r>
            <w:rPr/>
            <w:t>Переводы с английского языка:</w:t>
            <w:tab/>
            <w:t>Да</w:t>
          </w:r>
        </w:p>
        <w:p>
          <w:pPr>
            <w:pStyle w:val="Normal"/>
            <w:ind w:left="3600" w:hanging="3600"/>
            <w:rPr/>
          </w:pPr>
          <w:r>
            <w:rPr/>
            <w:t>Используемые стандарты SBP:</w:t>
            <w:tab/>
            <w:t>Стандарт 2: Верификация SBP-соответствующего сырья, вер.1-0 Март 2015;</w:t>
          </w:r>
        </w:p>
        <w:p>
          <w:pPr>
            <w:pStyle w:val="Normal"/>
            <w:ind w:left="3600" w:hanging="0"/>
            <w:rPr/>
          </w:pPr>
          <w:r>
            <w:rPr/>
            <w:t>Стандарт 4: Цепочка поставок, вер.1-0 Март 2015;</w:t>
          </w:r>
        </w:p>
        <w:p>
          <w:pPr>
            <w:pStyle w:val="Normal"/>
            <w:ind w:left="3600" w:hanging="0"/>
            <w:rPr/>
          </w:pPr>
          <w:r>
            <w:rPr/>
            <w:t>Стандарт 5: Сбор и передача данных, вер.1-0 Март 2015.</w:t>
          </w:r>
        </w:p>
        <w:p>
          <w:pPr>
            <w:pStyle w:val="Normal"/>
            <w:spacing w:lineRule="atLeast" w:line="240"/>
            <w:rPr/>
          </w:pPr>
          <w:r>
            <w:rPr/>
            <w:t xml:space="preserve">Веб-ссылка на используемые </w:t>
          </w:r>
        </w:p>
        <w:p>
          <w:pPr>
            <w:pStyle w:val="Normal"/>
            <w:spacing w:lineRule="atLeast" w:line="240"/>
            <w:rPr/>
          </w:pPr>
          <w:r>
            <w:rPr/>
            <w:t>стандарты:</w:t>
            <w:tab/>
            <w:tab/>
            <w:tab/>
            <w:tab/>
          </w:r>
          <w:hyperlink r:id="rId4">
            <w:r>
              <w:rPr>
                <w:webHidden/>
                <w:rStyle w:val="Style13"/>
                <w:vanish/>
              </w:rPr>
              <w:t>https://sbp-cert.org/documents/standards-documents/standards</w:t>
            </w:r>
          </w:hyperlink>
          <w:r>
            <w:rPr/>
            <w:t xml:space="preserve">  </w:t>
          </w:r>
        </w:p>
        <w:p>
          <w:pPr>
            <w:pStyle w:val="Normal"/>
            <w:rPr/>
          </w:pPr>
          <w:r>
            <w:rPr/>
            <w:t xml:space="preserve">Региональная Оценка Рисков, </w:t>
          </w:r>
        </w:p>
        <w:p>
          <w:pPr>
            <w:pStyle w:val="Normal"/>
            <w:rPr/>
          </w:pPr>
          <w:r>
            <w:rPr/>
            <w:t>одобренная SBP:</w:t>
            <w:tab/>
            <w:tab/>
            <w:tab/>
            <w:t>не применимо</w:t>
          </w:r>
        </w:p>
        <w:p>
          <w:pPr>
            <w:pStyle w:val="Normal"/>
            <w:rPr/>
          </w:pPr>
          <w:r>
            <w:rPr/>
            <w:t xml:space="preserve">Веб-ссылка на ОРБ на сайте </w:t>
          </w:r>
        </w:p>
        <w:p>
          <w:pPr>
            <w:pStyle w:val="Normal"/>
            <w:rPr/>
          </w:pPr>
          <w:r>
            <w:rPr/>
            <w:t xml:space="preserve">районной администрации: </w:t>
            <w:tab/>
            <w:tab/>
            <w:t>не применимо</w:t>
          </w:r>
        </w:p>
        <w:p>
          <w:pPr>
            <w:pStyle w:val="Normal"/>
            <w:rPr/>
          </w:pPr>
          <w:r>
            <w:rPr/>
          </w:r>
        </w:p>
      </w:sdtContent>
    </w:sdt>
    <w:tbl>
      <w:tblPr>
        <w:tblStyle w:val="afa"/>
        <w:tblW w:w="9350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1"/>
        <w:gridCol w:w="1872"/>
        <w:gridCol w:w="1872"/>
        <w:gridCol w:w="1872"/>
        <w:gridCol w:w="1873"/>
      </w:tblGrid>
      <w:tr>
        <w:trPr>
          <w:trHeight w:val="647" w:hRule="atLeast"/>
        </w:trPr>
        <w:tc>
          <w:tcPr>
            <w:tcW w:w="9350" w:type="dxa"/>
            <w:gridSpan w:val="5"/>
            <w:tcBorders/>
            <w:shd w:color="auto" w:fill="315644" w:themeFill="accent3" w:themeFillShade="80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Обозначьте текущую оценку в рамках цикла Оценки Ресурсной Базы </w:t>
            </w:r>
          </w:p>
        </w:tc>
      </w:tr>
      <w:tr>
        <w:trPr>
          <w:trHeight w:val="620" w:hRule="atLeast"/>
        </w:trPr>
        <w:tc>
          <w:tcPr>
            <w:tcW w:w="1861" w:type="dxa"/>
            <w:tcBorders/>
            <w:shd w:color="auto" w:fill="A3CAB8" w:themeFill="accent3" w:themeFillTint="99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100"/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>Основная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Главная</w:t>
            </w:r>
            <w:r>
              <w:rPr>
                <w:b/>
                <w:lang w:val="en-US"/>
              </w:rPr>
              <w:t>)</w:t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872" w:type="dxa"/>
            <w:tcBorders/>
            <w:shd w:color="auto" w:fill="A3CAB8" w:themeFill="accent3" w:themeFillTint="99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100"/>
              <w:jc w:val="center"/>
              <w:rPr>
                <w:b/>
                <w:b/>
              </w:rPr>
            </w:pPr>
            <w:r>
              <w:rPr>
                <w:b/>
              </w:rPr>
              <w:t>Первый</w:t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872" w:type="dxa"/>
            <w:tcBorders/>
            <w:shd w:color="auto" w:fill="A3CAB8" w:themeFill="accent3" w:themeFillTint="99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контроль</w:t>
            </w:r>
          </w:p>
        </w:tc>
        <w:tc>
          <w:tcPr>
            <w:tcW w:w="1872" w:type="dxa"/>
            <w:tcBorders/>
            <w:shd w:color="auto" w:fill="A3CAB8" w:themeFill="accent3" w:themeFillTint="99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100"/>
              <w:jc w:val="center"/>
              <w:rPr>
                <w:b/>
                <w:b/>
              </w:rPr>
            </w:pPr>
            <w:r>
              <w:rPr>
                <w:b/>
              </w:rPr>
              <w:t>Третий</w:t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873" w:type="dxa"/>
            <w:tcBorders/>
            <w:shd w:color="auto" w:fill="A3CAB8" w:themeFill="accent3" w:themeFillTint="99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100"/>
              <w:jc w:val="center"/>
              <w:rPr>
                <w:b/>
                <w:b/>
              </w:rPr>
            </w:pPr>
            <w:r>
              <w:rPr>
                <w:b/>
              </w:rPr>
              <w:t>Четвертый</w:t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контроль</w:t>
            </w:r>
          </w:p>
        </w:tc>
      </w:tr>
      <w:tr>
        <w:trPr>
          <w:trHeight w:val="710" w:hRule="atLeast"/>
        </w:trPr>
        <w:tc>
          <w:tcPr>
            <w:tcW w:w="1861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rFonts w:eastAsia="Arial" w:eastAsiaTheme="minorHAnsi"/>
              </w:rPr>
            </w:pPr>
            <w:r>
              <w:rPr>
                <w:rFonts w:cs="Segoe UI Symbol" w:ascii="Segoe UI Symbol" w:hAnsi="Segoe UI Symbol"/>
                <w:b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2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lang w:val="ru-RU"/>
              </w:rPr>
            </w:pPr>
            <w:r>
              <w:rPr>
                <w:rFonts w:cs="Segoe UI Symbol" w:ascii="Segoe UI Symbol" w:hAnsi="Segoe UI Symbol"/>
                <w:b/>
                <w:sz w:val="32"/>
                <w:szCs w:val="32"/>
                <w:highlight w:val="white"/>
                <w:lang w:val="ru-RU"/>
              </w:rPr>
              <w:t>Х</w:t>
            </w:r>
          </w:p>
        </w:tc>
        <w:tc>
          <w:tcPr>
            <w:tcW w:w="1872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sz w:val="32"/>
                <w:szCs w:val="32"/>
                <w:lang w:val="en-US"/>
              </w:rPr>
            </w:pPr>
            <w:bookmarkStart w:id="1" w:name="__DdeLink__18101_1950044387"/>
            <w:bookmarkEnd w:id="1"/>
            <w:r>
              <w:rPr>
                <w:rFonts w:cs="Segoe UI Symbol" w:ascii="Segoe UI Symbol" w:hAnsi="Segoe UI Symbol"/>
                <w:b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2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sz w:val="32"/>
                <w:szCs w:val="32"/>
                <w:lang w:val="en-US"/>
              </w:rPr>
            </w:pPr>
            <w:r>
              <w:rPr>
                <w:rFonts w:cs="Segoe UI Symbol" w:ascii="Segoe UI Symbol" w:hAnsi="Segoe UI Symbol"/>
                <w:b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3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sz w:val="32"/>
                <w:szCs w:val="32"/>
                <w:lang w:val="en-US"/>
              </w:rPr>
            </w:pPr>
            <w:r>
              <w:rPr>
                <w:rFonts w:cs="Segoe UI Symbol" w:ascii="Segoe UI Symbol" w:hAnsi="Segoe UI Symbol"/>
                <w:b/>
                <w:sz w:val="32"/>
                <w:szCs w:val="32"/>
                <w:lang w:val="en-US"/>
              </w:rPr>
              <w:t>☐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ind w:left="851" w:hanging="851"/>
        <w:rPr/>
      </w:pPr>
      <w:bookmarkStart w:id="2" w:name="_Toc476674542"/>
      <w:bookmarkEnd w:id="2"/>
      <w:r>
        <w:rPr/>
        <w:t>Описание Ресурсной Базы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3" w:name="_Toc476674543"/>
      <w:bookmarkEnd w:id="3"/>
      <w:r>
        <w:rPr/>
        <w:t>Общее описание</w:t>
      </w:r>
    </w:p>
    <w:p>
      <w:pPr>
        <w:pStyle w:val="Normal"/>
        <w:ind w:firstLine="720"/>
        <w:rPr/>
      </w:pPr>
      <w:r>
        <w:rPr/>
        <w:t xml:space="preserve">Ресурсная база ООО «ТехноАрс» представляет собой 3 арендных участка общей площадью 91290 га в Краснохолмском лесничестве Тверской области Российской Федерации. Арендатором этих участков и единственным поставщиком сырья для производства пеллет является ООО «Лагуна». </w:t>
      </w:r>
      <w:r>
        <w:rPr>
          <w:rFonts w:eastAsia="Arial" w:eastAsiaTheme="minorHAnsi"/>
          <w:highlight w:val="white"/>
        </w:rPr>
        <w:t>Сырьем для производства пеллет являются отходы лесопильного производства ООО «Лагуна» - опилки и древесные отходы от лесопиления.  Отчетный период составляет 12 месяцев с 01.01.201</w:t>
      </w:r>
      <w:r>
        <w:rPr>
          <w:rFonts w:eastAsia="Arial" w:eastAsiaTheme="minorHAnsi"/>
          <w:highlight w:val="white"/>
          <w:lang w:val="en-US"/>
        </w:rPr>
        <w:t>9</w:t>
      </w:r>
      <w:r>
        <w:rPr>
          <w:rFonts w:eastAsia="Arial" w:eastAsiaTheme="minorHAnsi"/>
          <w:highlight w:val="white"/>
        </w:rPr>
        <w:t xml:space="preserve"> г. по 31.12.201</w:t>
      </w:r>
      <w:r>
        <w:rPr>
          <w:rFonts w:eastAsia="Arial" w:eastAsiaTheme="minorHAnsi"/>
          <w:highlight w:val="white"/>
          <w:lang w:val="en-US"/>
        </w:rPr>
        <w:t>9</w:t>
      </w:r>
      <w:r>
        <w:rPr>
          <w:rFonts w:eastAsia="Arial" w:eastAsiaTheme="minorHAnsi"/>
          <w:highlight w:val="white"/>
        </w:rPr>
        <w:t xml:space="preserve"> г.</w:t>
      </w:r>
    </w:p>
    <w:p>
      <w:pPr>
        <w:pStyle w:val="Normal"/>
        <w:ind w:firstLine="720"/>
        <w:rPr/>
      </w:pPr>
      <w:r>
        <w:rPr/>
        <w:t xml:space="preserve">Тверская область входит в двадцатку самых лесных регионов России. 55% территории региона занято лесами. Площадь земель лесного фонда по Тверской области составляет 4874,5 тыс. га. Общий запас древесины составляет 738,8 млн. куб. м. </w:t>
      </w:r>
    </w:p>
    <w:p>
      <w:pPr>
        <w:pStyle w:val="Normal"/>
        <w:ind w:firstLine="720"/>
        <w:rPr/>
      </w:pPr>
      <w:r>
        <w:rPr/>
        <w:t>Лесистость области в её отдельных частях неодинакова. Наиболее лесистые районы - северо-западные и северные районы области. Сильно обезлесенный район занимает восточную часть области, где только около 10% площади покрыто лесами. Еще более обезлесенный район – южный.</w:t>
      </w:r>
    </w:p>
    <w:p>
      <w:pPr>
        <w:pStyle w:val="Normal"/>
        <w:ind w:firstLine="720"/>
        <w:rPr/>
      </w:pPr>
      <w:r>
        <w:rPr/>
        <w:t xml:space="preserve">Распределение разных типов лесов по области очень неравномерно, что связано с различными природными условиями и хозяйственной деятельностью человека. Большая часть территории области лежит в зоне смешанных лесов. Арендуемые участки расположены на севере Тверской области и относятся к зоне Южно-таежных лесов, района Южно-таежных лесов Европейской части РФ.  </w:t>
      </w:r>
    </w:p>
    <w:p>
      <w:pPr>
        <w:pStyle w:val="Normal"/>
        <w:rPr/>
      </w:pPr>
      <w:r>
        <w:rPr/>
        <w:tab/>
        <w:t>В соответствии с экономическим, экологическим и социальным значением леса Тверской области отнесены к защитным и эксплуатационным лесам. Площадь защитных лесов области составляет 40%. Площадь эксплуатационных лесов области составляет 60%.</w:t>
      </w:r>
    </w:p>
    <w:p>
      <w:pPr>
        <w:pStyle w:val="Normal"/>
        <w:rPr/>
      </w:pPr>
      <w:r>
        <w:rPr/>
        <w:t xml:space="preserve">Распределение площади лесных насаждений по породам составляет: 43% площади - хвойные породы, 57% - лиственные породы. </w:t>
      </w:r>
    </w:p>
    <w:p>
      <w:pPr>
        <w:pStyle w:val="Normal"/>
        <w:ind w:firstLine="720"/>
        <w:rPr/>
      </w:pPr>
      <w:r>
        <w:rPr/>
        <w:t>За последние несколько лет в Тверском регионе активно развиваются арендные отношения. Лесные участки передаются государством в аренду лесозаготовителям на срок до 49 лет. 60% лесов передано в аренду, остальные остаются в государственной собственности. В области действует более 450 договоров аренды лесных участков. 99% арендованных площадей передано под заготовку древесины.</w:t>
      </w:r>
    </w:p>
    <w:p>
      <w:pPr>
        <w:pStyle w:val="Normal"/>
        <w:ind w:firstLine="720"/>
        <w:rPr/>
      </w:pPr>
      <w:r>
        <w:rPr/>
        <w:t>Основными видами использования лесов являются: заготовка древесины; строительство, реконструкция, эксплуатация линейных объектов; осуществление рекреационной деятельности; выполнение работ по геологическому изучению недр, разработка месторождений полезных ископаемых.</w:t>
      </w:r>
    </w:p>
    <w:p>
      <w:pPr>
        <w:pStyle w:val="Normal"/>
        <w:ind w:firstLine="720"/>
        <w:rPr/>
      </w:pPr>
      <w:r>
        <w:rPr/>
        <w:t xml:space="preserve">Объемы ежегодной заготовки древесины в регионе составляют около 4,5 млн. куб. м. При этом объемы рубок составляют только 50% от допустимого ежегодного объема заготовки, что обеспечивает неистощительное использование лесов. </w:t>
      </w:r>
    </w:p>
    <w:p>
      <w:pPr>
        <w:pStyle w:val="Normal"/>
        <w:ind w:firstLine="720"/>
        <w:rPr/>
      </w:pPr>
      <w:r>
        <w:rPr/>
        <w:t>В отчетный период (с 1 января 2019 года по 31 декабря 2019 года) вырубка в ООО «Лагуна» составила 538,7</w:t>
      </w:r>
      <w:r>
        <w:rPr>
          <w:color w:val="FF0000"/>
        </w:rPr>
        <w:t xml:space="preserve"> </w:t>
      </w:r>
      <w:r>
        <w:rPr/>
        <w:t xml:space="preserve">га, это 59,7% - сплошные рубки главного пользования , 0%- сплошные санитарные рубки, 40,3% - выборочные (проходные, чересполосные, прореживание) рубки. Максимальная площадь вырубки – 22,2 га. Средний размер вырубки за отчетный период составил – 8,7 га. </w:t>
      </w:r>
    </w:p>
    <w:p>
      <w:pPr>
        <w:pStyle w:val="Normal"/>
        <w:ind w:firstLine="720"/>
        <w:jc w:val="both"/>
        <w:rPr/>
      </w:pPr>
      <w:r>
        <w:rPr/>
        <w:t xml:space="preserve">На лесных участках, предоставленных в аренду для заготовки древесины, лесовосстановление и уход осуществляется арендаторами этих лесных участков. </w:t>
      </w:r>
    </w:p>
    <w:p>
      <w:pPr>
        <w:pStyle w:val="Normal"/>
        <w:ind w:firstLine="720"/>
        <w:jc w:val="both"/>
        <w:rPr/>
      </w:pPr>
      <w:r>
        <w:rPr/>
        <w:t>Главным элементом воспроизводства лесов является искусственное лесовосстановление, которое осуществляется путем создания лесных культур на вырубках и других не покрытых лесом землях. В Тверской области 60% от общего объема лесовосстановления проводится закладкой лесных культур, 40% - содействие естественному возобновлению. В частности, в ресурсной базе за 2018 год было произведено искусственное лесовозобновление на 51,6% площади, подлежащей лесовосстановлению. Содействие естественному лесовосстановлению составило 48,4% по площади.</w:t>
      </w:r>
    </w:p>
    <w:p>
      <w:pPr>
        <w:pStyle w:val="Normal"/>
        <w:ind w:firstLine="720"/>
        <w:jc w:val="both"/>
        <w:rPr/>
      </w:pPr>
      <w:r>
        <w:rPr/>
        <w:t>Для выращивания стандартного посадочного материала хвойных пород в Тверской области существуют 5 постоянных лесных питомников.</w:t>
      </w:r>
    </w:p>
    <w:p>
      <w:pPr>
        <w:pStyle w:val="Normal"/>
        <w:ind w:firstLine="720"/>
        <w:jc w:val="both"/>
        <w:rPr/>
      </w:pPr>
      <w:r>
        <w:rPr/>
        <w:t>Охрана лесов осуществляются органами государственной власти, органами местного самоуправления в пределах их полномочий. В Тверском регионе сформирована многоуровневая система охраны лесов от пожаров. Она включает в себя выполнение мер пожарной безопасности в лесах и тушение пожаров в лесах.</w:t>
      </w:r>
    </w:p>
    <w:p>
      <w:pPr>
        <w:pStyle w:val="Normal"/>
        <w:ind w:firstLine="720"/>
        <w:jc w:val="both"/>
        <w:rPr>
          <w:rFonts w:eastAsia="Times New Roman"/>
        </w:rPr>
      </w:pPr>
      <w:r>
        <w:rPr/>
        <w:t xml:space="preserve">Лесопромышленный комплекс Тверской области хорошо диверсифицирован и представлен почти всеми направлениями – от лесозаготовок до производства продукции глубокой переработки древесины. </w:t>
      </w:r>
      <w:r>
        <w:rPr>
          <w:rFonts w:eastAsia="Times New Roman"/>
        </w:rPr>
        <w:t>В регионе 153 котельных, работающих на древесном топливе, из 805.</w:t>
      </w:r>
    </w:p>
    <w:p>
      <w:pPr>
        <w:pStyle w:val="Normal"/>
        <w:ind w:firstLine="720"/>
        <w:jc w:val="both"/>
        <w:rPr/>
      </w:pPr>
      <w:r>
        <w:rPr/>
        <w:t xml:space="preserve">В регионе также существует более 10 производителей древесных гранул. ООО «ТехноАрс» занимает 6 место по региону с мощностью в 6 тыс. тонн в год. </w:t>
      </w:r>
    </w:p>
    <w:p>
      <w:pPr>
        <w:pStyle w:val="Normal"/>
        <w:ind w:firstLine="720"/>
        <w:jc w:val="both"/>
        <w:rPr/>
      </w:pPr>
      <w:r>
        <w:rPr/>
        <w:t xml:space="preserve">Лесной сектор Тверской области составляет значимую часть экономики области. По сравнению с другими секторами экономики лесной сектор является прибыльным и не требует государственных дотаций. </w:t>
      </w:r>
    </w:p>
    <w:p>
      <w:pPr>
        <w:pStyle w:val="Normal"/>
        <w:ind w:firstLine="720"/>
        <w:jc w:val="both"/>
        <w:rPr/>
      </w:pPr>
      <w:r>
        <w:rPr/>
        <w:t>Социально-экономическая функция лесозаготовителей Тверской области регулируется законодательно, в частности включает выделение 2% расчетной лесосеки хвойных пород и 4% лиственных пород населению для собственных нужд строительства и отопления. При приеме на работу предпочтение в основном отдается местному населению.</w:t>
      </w:r>
    </w:p>
    <w:p>
      <w:pPr>
        <w:pStyle w:val="Normal"/>
        <w:ind w:firstLine="720"/>
        <w:jc w:val="both"/>
        <w:rPr/>
      </w:pPr>
      <w:r>
        <w:rPr/>
        <w:t>В пределах ресурсной базы древесные породы СИТЕС и МСОП не встречаются.</w:t>
      </w:r>
    </w:p>
    <w:p>
      <w:pPr>
        <w:pStyle w:val="Normal"/>
        <w:ind w:firstLine="720"/>
        <w:jc w:val="both"/>
        <w:rPr/>
      </w:pPr>
      <w:r>
        <w:rPr/>
        <w:t xml:space="preserve">Породный состав в ресурсной базе по таксационным материалам 2012 года следующий: </w:t>
      </w:r>
      <w:bookmarkStart w:id="4" w:name="__DdeLink__19166_270348072"/>
      <w:r>
        <w:rPr/>
        <w:t>арендный участок №18 (площадью 9916 га): 4Е1С2Б1Олс1Ос+Т</w:t>
      </w:r>
      <w:bookmarkEnd w:id="4"/>
      <w:r>
        <w:rPr/>
        <w:t xml:space="preserve">; арендный участок № 47 (площадью 6445 га): 4Б2Е2Олс1Ос1С+Ивд., </w:t>
      </w:r>
      <w:r>
        <w:rPr>
          <w:highlight w:val="white"/>
        </w:rPr>
        <w:t>арендный участок №6 (площадью 74929 га): 5С1Е4Б+Ос,Олс,Олч,Л,Ивд. Однако в переработку на распиловку ООО «Лагуна» использует только ель европейскую (</w:t>
      </w:r>
      <w:r>
        <w:rPr>
          <w:rFonts w:cs="" w:ascii="Arial" w:hAnsi="Arial" w:asciiTheme="minorHAnsi" w:cstheme="minorBidi" w:hAnsiTheme="minorHAnsi"/>
          <w:i/>
          <w:sz w:val="20"/>
          <w:szCs w:val="20"/>
          <w:highlight w:val="white"/>
        </w:rPr>
        <w:t xml:space="preserve">Picea abies) </w:t>
      </w:r>
      <w:r>
        <w:rPr>
          <w:highlight w:val="white"/>
        </w:rPr>
        <w:t>и сосну обыкновенную (</w:t>
      </w:r>
      <w:r>
        <w:rPr>
          <w:rFonts w:cs="" w:ascii="Arial" w:hAnsi="Arial" w:asciiTheme="minorHAnsi" w:cstheme="minorBidi" w:hAnsiTheme="minorHAnsi"/>
          <w:i/>
          <w:sz w:val="20"/>
          <w:szCs w:val="20"/>
          <w:highlight w:val="white"/>
        </w:rPr>
        <w:t>Pinus sylvestris)</w:t>
      </w:r>
      <w:r>
        <w:rPr>
          <w:highlight w:val="white"/>
        </w:rPr>
        <w:t>. Отходы этой распиловки и являются сырьем для пеллетного производства ООО «ТехноАрс».</w:t>
      </w:r>
    </w:p>
    <w:p>
      <w:pPr>
        <w:pStyle w:val="Normal"/>
        <w:ind w:firstLine="720"/>
        <w:jc w:val="both"/>
        <w:rPr>
          <w:highlight w:val="yellow"/>
        </w:rPr>
      </w:pPr>
      <w:r>
        <w:rPr>
          <w:highlight w:val="white"/>
        </w:rPr>
        <w:t xml:space="preserve">Единственный поставщик сырья для ООО «ТехноАрс» - ООО «Лагуна» прошел сертификацию лесоуправления, цепи поставок и получил сертификаты </w:t>
      </w:r>
      <w:r>
        <w:rPr>
          <w:highlight w:val="white"/>
          <w:lang w:val="en-US"/>
        </w:rPr>
        <w:t xml:space="preserve">NC-FM/COC-026210 </w:t>
      </w:r>
      <w:r>
        <w:rPr>
          <w:highlight w:val="white"/>
          <w:lang w:val="ru-RU"/>
        </w:rPr>
        <w:t>и</w:t>
      </w:r>
      <w:r>
        <w:rPr>
          <w:highlight w:val="white"/>
          <w:lang w:val="en-US"/>
        </w:rPr>
        <w:t xml:space="preserve"> NC-COC-026210</w:t>
      </w:r>
      <w:r>
        <w:rPr>
          <w:highlight w:val="white"/>
        </w:rPr>
        <w:t xml:space="preserve">. Все сырье, поступающее для производства и теплогенерации в ООО «ТехноАрс», будет являться 100% </w:t>
      </w:r>
      <w:r>
        <w:rPr>
          <w:highlight w:val="white"/>
          <w:lang w:val="en-US"/>
        </w:rPr>
        <w:t>SBP</w:t>
      </w:r>
      <w:r>
        <w:rPr>
          <w:highlight w:val="white"/>
        </w:rPr>
        <w:t>-соответствующим вторичным сырьем.</w:t>
      </w:r>
    </w:p>
    <w:p>
      <w:pPr>
        <w:pStyle w:val="Normal"/>
        <w:spacing w:lineRule="auto" w:line="276" w:before="120" w:after="100"/>
        <w:rPr>
          <w:i/>
          <w:i/>
        </w:rPr>
      </w:pPr>
      <w:r>
        <w:rPr>
          <w:i/>
        </w:rPr>
        <w:t xml:space="preserve">Таблица 1. Распределение сырья по видам </w:t>
      </w:r>
      <w:r>
        <w:rPr>
          <w:i/>
          <w:lang w:val="en-US"/>
        </w:rPr>
        <w:t>SBP</w:t>
      </w:r>
      <w:r>
        <w:rPr>
          <w:i/>
        </w:rPr>
        <w:t>-групп продукции за первый отчетный период.</w:t>
      </w:r>
    </w:p>
    <w:tbl>
      <w:tblPr>
        <w:tblStyle w:val="afa"/>
        <w:tblW w:w="9854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1"/>
        <w:gridCol w:w="2645"/>
        <w:gridCol w:w="1599"/>
        <w:gridCol w:w="2698"/>
      </w:tblGrid>
      <w:tr>
        <w:trPr>
          <w:trHeight w:val="863" w:hRule="atLeast"/>
        </w:trPr>
        <w:tc>
          <w:tcPr>
            <w:tcW w:w="2911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SBP группа продукции</w:t>
            </w:r>
          </w:p>
        </w:tc>
        <w:tc>
          <w:tcPr>
            <w:tcW w:w="264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Процент содержания в общих поставках за отчетный период</w:t>
            </w:r>
          </w:p>
        </w:tc>
        <w:tc>
          <w:tcPr>
            <w:tcW w:w="1599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Кол-во поставщиков</w:t>
            </w:r>
          </w:p>
        </w:tc>
        <w:tc>
          <w:tcPr>
            <w:tcW w:w="269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Породный состав сырья, использованного в производстве пеллет</w:t>
            </w:r>
          </w:p>
        </w:tc>
      </w:tr>
      <w:tr>
        <w:trPr/>
        <w:tc>
          <w:tcPr>
            <w:tcW w:w="2911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Контролируемое сырьё</w:t>
            </w:r>
          </w:p>
        </w:tc>
        <w:tc>
          <w:tcPr>
            <w:tcW w:w="264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0%</w:t>
            </w:r>
          </w:p>
        </w:tc>
        <w:tc>
          <w:tcPr>
            <w:tcW w:w="1599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69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</w:tr>
      <w:tr>
        <w:trPr>
          <w:trHeight w:val="401" w:hRule="atLeast"/>
        </w:trPr>
        <w:tc>
          <w:tcPr>
            <w:tcW w:w="2911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SBP-соответствующее первичное сырьё</w:t>
            </w:r>
          </w:p>
        </w:tc>
        <w:tc>
          <w:tcPr>
            <w:tcW w:w="264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0%</w:t>
            </w:r>
          </w:p>
        </w:tc>
        <w:tc>
          <w:tcPr>
            <w:tcW w:w="1599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69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</w:tr>
      <w:tr>
        <w:trPr/>
        <w:tc>
          <w:tcPr>
            <w:tcW w:w="2911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SBP-соответствующее вторичное сырьё</w:t>
            </w:r>
          </w:p>
        </w:tc>
        <w:tc>
          <w:tcPr>
            <w:tcW w:w="264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100 %</w:t>
            </w:r>
          </w:p>
        </w:tc>
        <w:tc>
          <w:tcPr>
            <w:tcW w:w="1599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1</w:t>
            </w:r>
          </w:p>
        </w:tc>
        <w:tc>
          <w:tcPr>
            <w:tcW w:w="269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9Е1С</w:t>
            </w:r>
          </w:p>
        </w:tc>
      </w:tr>
      <w:tr>
        <w:trPr/>
        <w:tc>
          <w:tcPr>
            <w:tcW w:w="2911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SBP-соответствующее третичное сырьё</w:t>
            </w:r>
          </w:p>
        </w:tc>
        <w:tc>
          <w:tcPr>
            <w:tcW w:w="264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0%</w:t>
            </w:r>
          </w:p>
        </w:tc>
        <w:tc>
          <w:tcPr>
            <w:tcW w:w="1599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69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</w:tr>
      <w:tr>
        <w:trPr/>
        <w:tc>
          <w:tcPr>
            <w:tcW w:w="2911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SBP несоответствующее сырьё</w:t>
            </w:r>
          </w:p>
        </w:tc>
        <w:tc>
          <w:tcPr>
            <w:tcW w:w="264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0%</w:t>
            </w:r>
          </w:p>
        </w:tc>
        <w:tc>
          <w:tcPr>
            <w:tcW w:w="1599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0</w:t>
            </w:r>
          </w:p>
        </w:tc>
        <w:tc>
          <w:tcPr>
            <w:tcW w:w="269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-</w:t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5" w:name="_Toc476674544"/>
      <w:bookmarkEnd w:id="5"/>
      <w:r>
        <w:rPr/>
        <w:t>Предпринятые действия для продвижения сертификации среди поставщиков сырья</w:t>
      </w:r>
    </w:p>
    <w:p>
      <w:pPr>
        <w:pStyle w:val="Normal"/>
        <w:ind w:left="567" w:hanging="567"/>
        <w:rPr/>
      </w:pPr>
      <w:r>
        <w:rPr/>
        <w:t xml:space="preserve">Единственный поставщик сырья ООО «Лагуна» прошел оценку на соответствие стандартам лесоуправления </w:t>
      </w:r>
      <w:r>
        <w:rPr>
          <w:lang w:val="en-US"/>
        </w:rPr>
        <w:t>FSC</w:t>
      </w:r>
      <w:r>
        <w:rPr/>
        <w:t xml:space="preserve"> и цепочки поставок FSC.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6" w:name="_Toc476674545"/>
      <w:bookmarkEnd w:id="6"/>
      <w:r>
        <w:rPr/>
        <w:t>Программа определения доли древесины, полученной от рубок главного пользования</w:t>
      </w:r>
    </w:p>
    <w:p>
      <w:pPr>
        <w:pStyle w:val="Normal"/>
        <w:rPr/>
      </w:pPr>
      <w:r>
        <w:rPr/>
        <w:t xml:space="preserve">Не применимо. ООО «ТехноАрс» использует исключительно отходы лесопиления.   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7" w:name="_Toc476674546"/>
      <w:r>
        <w:rPr/>
        <w:t>Диаграмма потоков входящего сырья с указанием тип сырья</w:t>
      </w:r>
      <w:bookmarkEnd w:id="7"/>
      <w:r>
        <w:rPr/>
        <w:t xml:space="preserve">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522470" cy="274193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8" w:name="_Toc476674547"/>
      <w:bookmarkEnd w:id="8"/>
      <w:r>
        <w:rPr/>
        <w:t>Количественное определение ресурсной базы</w:t>
      </w:r>
    </w:p>
    <w:p>
      <w:pPr>
        <w:pStyle w:val="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Ресурсная база</w:t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Общая площадь ресурсной базы (га):</w:t>
        <w:tab/>
        <w:tab/>
        <w:t>91 290 га</w:t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Условия владения по типам (г</w:t>
      </w:r>
      <w:r>
        <w:rPr/>
        <w:t>a</w:t>
      </w:r>
      <w:r>
        <w:rPr>
          <w:lang w:val="ru-RU"/>
        </w:rPr>
        <w:t>):</w:t>
        <w:tab/>
        <w:tab/>
        <w:tab/>
        <w:t xml:space="preserve">91 290 га Муниципальная концессия (Аренда </w:t>
        <w:tab/>
        <w:tab/>
        <w:tab/>
        <w:tab/>
        <w:tab/>
        <w:tab/>
        <w:tab/>
        <w:tab/>
        <w:t>государственной собственности)</w:t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Лес по типам (га):</w:t>
        <w:tab/>
        <w:tab/>
        <w:tab/>
        <w:tab/>
        <w:tab/>
        <w:t>91 290 га Бореальные</w:t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Лес по типу лесоуправления (га):</w:t>
        <w:tab/>
        <w:t xml:space="preserve">             </w:t>
        <w:tab/>
        <w:t>91 290 га Управляемые естественные</w:t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Сертифицированные леса по схемам (га):</w:t>
        <w:tab/>
        <w:tab/>
        <w:t xml:space="preserve">91 290 га </w:t>
      </w:r>
      <w:r>
        <w:rPr/>
        <w:t>FSC</w:t>
      </w:r>
      <w:r>
        <w:rPr>
          <w:lang w:val="ru-RU"/>
        </w:rPr>
        <w:t>-сертифицированных лесов</w:t>
      </w:r>
    </w:p>
    <w:p>
      <w:pPr>
        <w:pStyle w:val="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Сырьё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ru-RU"/>
        </w:rPr>
        <w:t>Общий объём сырья:</w:t>
        <w:tab/>
        <w:tab/>
      </w:r>
      <w:r>
        <w:rPr>
          <w:rFonts w:cs="" w:cstheme="minorBidi"/>
          <w:highlight w:val="white"/>
          <w:lang w:val="ru-RU"/>
        </w:rPr>
        <w:t>14</w:t>
      </w:r>
      <w:r>
        <w:rPr>
          <w:rFonts w:cs="" w:cstheme="minorBidi"/>
          <w:highlight w:val="white"/>
          <w:lang w:val="en-US"/>
        </w:rPr>
        <w:t>729,4</w:t>
      </w:r>
      <w:r>
        <w:rPr>
          <w:lang w:val="ru-RU"/>
        </w:rPr>
        <w:t xml:space="preserve"> тонн.</w:t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Объём первичного сырья:</w:t>
        <w:tab/>
        <w:tab/>
        <w:t>0 тонн.</w:t>
        <w:tab/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Перечислите процент содержания первичного сырья (</w:t>
      </w:r>
      <w:r>
        <w:rPr/>
        <w:t>g</w:t>
      </w:r>
      <w:r>
        <w:rPr>
          <w:lang w:val="ru-RU"/>
        </w:rPr>
        <w:t xml:space="preserve">), по следующим категориям.  Подразделите по </w:t>
      </w:r>
      <w:r>
        <w:rPr/>
        <w:t>SBP</w:t>
      </w:r>
      <w:r>
        <w:rPr>
          <w:lang w:val="ru-RU"/>
        </w:rPr>
        <w:t>-утверждённой схеме лесоуправления:</w:t>
      </w:r>
    </w:p>
    <w:p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Сертифицированные по </w:t>
      </w:r>
      <w:r>
        <w:rPr/>
        <w:t>SBP</w:t>
      </w:r>
      <w:r>
        <w:rPr>
          <w:lang w:val="ru-RU"/>
        </w:rPr>
        <w:t xml:space="preserve">-утвержденной схеме лесоуправления – </w:t>
        <w:tab/>
        <w:t>0 тонн.</w:t>
      </w:r>
    </w:p>
    <w:p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Несертифицированные по </w:t>
      </w:r>
      <w:r>
        <w:rPr/>
        <w:t>SBP</w:t>
      </w:r>
      <w:r>
        <w:rPr>
          <w:lang w:val="ru-RU"/>
        </w:rPr>
        <w:t xml:space="preserve">-утвержденной схеме лесоуправления – </w:t>
        <w:tab/>
        <w:t>0 тонн.</w:t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Перечислите все породы первичного сырья, включая научные названия – не применимо.</w:t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Объём первичного сырья из первичных лесов – не применимо.</w:t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Приведите процент содержания первичного сырья из первичных лесов (</w:t>
      </w:r>
      <w:r>
        <w:rPr>
          <w:lang w:val="en-US"/>
        </w:rPr>
        <w:t>j</w:t>
      </w:r>
      <w:r>
        <w:rPr>
          <w:lang w:val="ru-RU"/>
        </w:rPr>
        <w:t xml:space="preserve">), по следующим категориям.  Подразделите по </w:t>
      </w:r>
      <w:r>
        <w:rPr/>
        <w:t>SBP</w:t>
      </w:r>
      <w:r>
        <w:rPr>
          <w:lang w:val="ru-RU"/>
        </w:rPr>
        <w:t>- утверждённой схеме лесоуправления</w:t>
      </w:r>
    </w:p>
    <w:p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Первичное сырьё из первичных лесов, сертифицированных по </w:t>
      </w:r>
      <w:r>
        <w:rPr/>
        <w:t>SBP</w:t>
      </w:r>
      <w:r>
        <w:rPr>
          <w:lang w:val="ru-RU"/>
        </w:rPr>
        <w:t>- утверждённой схеме лесоуправления –</w:t>
        <w:tab/>
        <w:tab/>
        <w:t>0 тонн.</w:t>
      </w:r>
    </w:p>
    <w:p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Первичное сырьё из первичных лесов, несертифицированных по </w:t>
      </w:r>
      <w:r>
        <w:rPr/>
        <w:t>SBP</w:t>
      </w:r>
      <w:r>
        <w:rPr>
          <w:lang w:val="ru-RU"/>
        </w:rPr>
        <w:t>- утверждённой схеме лесоуправления –</w:t>
        <w:tab/>
        <w:t>0 тонн.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ru-RU"/>
        </w:rPr>
        <w:t>Объём вторичного сырья:</w:t>
        <w:tab/>
        <w:tab/>
      </w:r>
      <w:r>
        <w:rPr>
          <w:rFonts w:cs="" w:cstheme="minorBidi"/>
          <w:highlight w:val="white"/>
          <w:lang w:val="ru-RU"/>
        </w:rPr>
        <w:t>14</w:t>
      </w:r>
      <w:r>
        <w:rPr>
          <w:rFonts w:cs="" w:cstheme="minorBidi"/>
          <w:highlight w:val="white"/>
          <w:lang w:val="en-US"/>
        </w:rPr>
        <w:t>729,4</w:t>
      </w:r>
      <w:r>
        <w:rPr>
          <w:lang w:val="ru-RU"/>
        </w:rPr>
        <w:t xml:space="preserve"> тонн (100% отходы от лесопиления: опилки — 26,7% и </w:t>
        <w:tab/>
        <w:tab/>
        <w:tab/>
        <w:tab/>
        <w:tab/>
        <w:t xml:space="preserve">щепа от дробления горбыля, кусковых и досковых отходов </w:t>
        <w:tab/>
        <w:tab/>
        <w:tab/>
        <w:tab/>
        <w:tab/>
        <w:tab/>
        <w:t>лесопиления — 73,3%).</w:t>
      </w:r>
    </w:p>
    <w:p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Объём третичного сырья:</w:t>
        <w:tab/>
        <w:tab/>
        <w:t>0 тонн.</w:t>
      </w:r>
    </w:p>
    <w:p>
      <w:pPr>
        <w:pStyle w:val="ListParagraph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2"/>
        </w:numPr>
        <w:ind w:left="851" w:hanging="851"/>
        <w:rPr/>
      </w:pPr>
      <w:bookmarkStart w:id="9" w:name="_Toc476674548"/>
      <w:bookmarkEnd w:id="9"/>
      <w:r>
        <w:rPr/>
        <w:t>Оценка Ресурсной Базы</w:t>
      </w:r>
    </w:p>
    <w:tbl>
      <w:tblPr>
        <w:tblStyle w:val="afa"/>
        <w:tblW w:w="3733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1"/>
        <w:gridCol w:w="1871"/>
      </w:tblGrid>
      <w:tr>
        <w:trPr>
          <w:trHeight w:val="620" w:hRule="atLeast"/>
        </w:trPr>
        <w:tc>
          <w:tcPr>
            <w:tcW w:w="1861" w:type="dxa"/>
            <w:tcBorders/>
            <w:shd w:color="auto" w:fill="A3CAB8" w:themeFill="accent3" w:themeFillTint="99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ОРБ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выполнена</w:t>
            </w:r>
          </w:p>
        </w:tc>
        <w:tc>
          <w:tcPr>
            <w:tcW w:w="1871" w:type="dxa"/>
            <w:tcBorders/>
            <w:shd w:color="auto" w:fill="A3CAB8" w:themeFill="accent3" w:themeFillTint="99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ОРБ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проводилась</w:t>
            </w:r>
          </w:p>
        </w:tc>
      </w:tr>
      <w:tr>
        <w:trPr>
          <w:trHeight w:val="710" w:hRule="atLeast"/>
        </w:trPr>
        <w:tc>
          <w:tcPr>
            <w:tcW w:w="1861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rFonts w:cs="Segoe UI Symbol" w:ascii="Segoe UI Symbol" w:hAnsi="Segoe UI Symbol"/>
                <w:b/>
                <w:lang w:val="en-US"/>
              </w:rPr>
              <w:t>☐</w:t>
            </w:r>
          </w:p>
        </w:tc>
        <w:tc>
          <w:tcPr>
            <w:tcW w:w="1871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Х</w:t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/>
      </w:pPr>
      <w:r>
        <w:rPr/>
        <w:t>Оценка ресурсной базы не требуется так как единственный поставщик сырья уже прошел оценку на соответствие FSC стандарту лесоуправления и цепочки поставок и готов поставлять только FSC сырье для производства пеллет ООО «ТехноАрс».</w:t>
      </w:r>
      <w:r>
        <w:br w:type="page"/>
      </w:r>
    </w:p>
    <w:p>
      <w:pPr>
        <w:pStyle w:val="1"/>
        <w:numPr>
          <w:ilvl w:val="0"/>
          <w:numId w:val="2"/>
        </w:numPr>
        <w:ind w:left="851" w:hanging="851"/>
        <w:rPr/>
      </w:pPr>
      <w:bookmarkStart w:id="10" w:name="_Toc476674549"/>
      <w:r>
        <w:rPr/>
        <w:t>Оценка ресурсной базы</w:t>
      </w:r>
      <w:bookmarkEnd w:id="10"/>
      <w:r>
        <w:rPr/>
        <w:t xml:space="preserve"> 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11" w:name="_Toc476674550"/>
      <w:bookmarkEnd w:id="11"/>
      <w:r>
        <w:rPr/>
        <w:t>Область оценки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12" w:name="_Toc476674551"/>
      <w:bookmarkEnd w:id="12"/>
      <w:r>
        <w:rPr/>
        <w:t>Обоснование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13" w:name="_Toc476674552"/>
      <w:bookmarkStart w:id="14" w:name="_Toc412646205"/>
      <w:bookmarkEnd w:id="13"/>
      <w:bookmarkEnd w:id="14"/>
      <w:r>
        <w:rPr/>
        <w:t>Результаты оценки рисков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15" w:name="_Toc476674553"/>
      <w:bookmarkEnd w:id="15"/>
      <w:r>
        <w:rPr/>
        <w:t>Результаты Программы Проверки Поставщиков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16" w:name="_Toc476674554"/>
      <w:bookmarkEnd w:id="16"/>
      <w:r>
        <w:rPr/>
        <w:t>Выводы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Normal"/>
        <w:spacing w:lineRule="auto" w:line="276"/>
        <w:rPr>
          <w:rFonts w:ascii="Georgia" w:hAnsi="Georgia" w:eastAsia="" w:cs="" w:asciiTheme="majorHAnsi" w:cstheme="majorBidi" w:eastAsiaTheme="majorEastAsia" w:hAnsiTheme="majorHAnsi"/>
          <w:bCs/>
          <w:iCs/>
          <w:color w:val="8AB059"/>
          <w:sz w:val="28"/>
          <w:szCs w:val="28"/>
        </w:rPr>
      </w:pPr>
      <w:r>
        <w:rPr>
          <w:rFonts w:eastAsia="" w:cs="" w:cstheme="majorBidi" w:eastAsiaTheme="majorEastAsia" w:ascii="Georgia" w:hAnsi="Georgia"/>
          <w:bCs/>
          <w:iCs/>
          <w:color w:val="8AB059"/>
          <w:sz w:val="28"/>
          <w:szCs w:val="28"/>
        </w:rPr>
      </w:r>
      <w:r>
        <w:br w:type="page"/>
      </w:r>
    </w:p>
    <w:p>
      <w:pPr>
        <w:pStyle w:val="1"/>
        <w:numPr>
          <w:ilvl w:val="0"/>
          <w:numId w:val="2"/>
        </w:numPr>
        <w:ind w:left="851" w:hanging="851"/>
        <w:rPr/>
      </w:pPr>
      <w:bookmarkStart w:id="17" w:name="_Toc476674555"/>
      <w:bookmarkEnd w:id="17"/>
      <w:r>
        <w:rPr/>
        <w:t>Процесс Оценки Ресурсной Базы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1"/>
        <w:numPr>
          <w:ilvl w:val="0"/>
          <w:numId w:val="2"/>
        </w:numPr>
        <w:ind w:left="851" w:hanging="851"/>
        <w:rPr/>
      </w:pPr>
      <w:r>
        <w:rPr/>
        <w:t xml:space="preserve"> </w:t>
      </w:r>
      <w:bookmarkStart w:id="18" w:name="_Toc476674556"/>
      <w:r>
        <w:rPr/>
        <w:t>Консультации заинтересованных сторон</w:t>
      </w:r>
      <w:bookmarkEnd w:id="18"/>
      <w:r>
        <w:rPr/>
        <w:t xml:space="preserve"> 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19" w:name="_Toc476674557"/>
      <w:bookmarkEnd w:id="19"/>
      <w:r>
        <w:rPr/>
        <w:t>Ответ на комментарии заинтересованных сторон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1"/>
        <w:numPr>
          <w:ilvl w:val="0"/>
          <w:numId w:val="2"/>
        </w:numPr>
        <w:ind w:left="851" w:hanging="851"/>
        <w:rPr/>
      </w:pPr>
      <w:bookmarkStart w:id="20" w:name="_Toc412646211"/>
      <w:bookmarkStart w:id="21" w:name="_Toc476674558"/>
      <w:r>
        <w:rPr/>
        <w:t>Обзор</w:t>
      </w:r>
      <w:r>
        <w:rPr>
          <w:lang w:val="en-US"/>
        </w:rPr>
        <w:t xml:space="preserve"> </w:t>
      </w:r>
      <w:r>
        <w:rPr/>
        <w:t>первоначальной</w:t>
      </w:r>
      <w:r>
        <w:rPr>
          <w:lang w:val="en-US"/>
        </w:rPr>
        <w:t xml:space="preserve"> </w:t>
      </w:r>
      <w:r>
        <w:rPr/>
        <w:t>оценки</w:t>
      </w:r>
      <w:r>
        <w:rPr>
          <w:lang w:val="en-US"/>
        </w:rPr>
        <w:t xml:space="preserve"> </w:t>
      </w:r>
      <w:r>
        <w:rPr/>
        <w:t>рисков</w:t>
      </w:r>
      <w:bookmarkEnd w:id="20"/>
      <w:bookmarkEnd w:id="21"/>
      <w:r>
        <w:rPr/>
        <w:t xml:space="preserve"> 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ind w:left="851" w:hanging="851"/>
        <w:rPr/>
      </w:pPr>
      <w:bookmarkStart w:id="22" w:name="_Toc476674559"/>
      <w:bookmarkEnd w:id="22"/>
      <w:r>
        <w:rPr/>
        <w:t>Программа Проверки Поставщиков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23" w:name="_Toc476674560"/>
      <w:bookmarkEnd w:id="23"/>
      <w:r>
        <w:rPr/>
        <w:t>Описание Программы Проверки Поставщиков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24" w:name="_Toc476674561"/>
      <w:bookmarkEnd w:id="24"/>
      <w:r>
        <w:rPr/>
        <w:t>Посещение площадок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25" w:name="_Toc476674562"/>
      <w:bookmarkEnd w:id="25"/>
      <w:r>
        <w:rPr/>
        <w:t>Выводы Программы Проверки Поставщиков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1"/>
        <w:numPr>
          <w:ilvl w:val="0"/>
          <w:numId w:val="2"/>
        </w:numPr>
        <w:ind w:left="851" w:hanging="851"/>
        <w:rPr/>
      </w:pPr>
      <w:bookmarkStart w:id="26" w:name="_Toc476674563"/>
      <w:bookmarkEnd w:id="26"/>
      <w:r>
        <w:rPr/>
        <w:t>Меры по снижению уровня риска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27" w:name="_Toc476674564"/>
      <w:bookmarkEnd w:id="27"/>
      <w:r>
        <w:rPr/>
        <w:t>Меры по снижению уровня риска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28" w:name="_Toc476674565"/>
      <w:bookmarkEnd w:id="28"/>
      <w:r>
        <w:rPr/>
        <w:t>Мониторинг и результаты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1"/>
        <w:numPr>
          <w:ilvl w:val="0"/>
          <w:numId w:val="2"/>
        </w:numPr>
        <w:ind w:left="851" w:hanging="851"/>
        <w:rPr/>
      </w:pPr>
      <w:bookmarkStart w:id="29" w:name="_Toc476674566"/>
      <w:bookmarkEnd w:id="29"/>
      <w:r>
        <w:rPr/>
        <w:t>Детальные результаты по индикаторам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Normal"/>
        <w:spacing w:lineRule="auto" w:line="276"/>
        <w:rPr/>
      </w:pPr>
      <w:r>
        <w:rPr/>
      </w:r>
      <w:r>
        <w:br w:type="page"/>
      </w:r>
    </w:p>
    <w:p>
      <w:pPr>
        <w:pStyle w:val="1"/>
        <w:numPr>
          <w:ilvl w:val="0"/>
          <w:numId w:val="2"/>
        </w:numPr>
        <w:ind w:left="851" w:hanging="851"/>
        <w:rPr/>
      </w:pPr>
      <w:bookmarkStart w:id="30" w:name="_Toc476674567"/>
      <w:bookmarkEnd w:id="30"/>
      <w:r>
        <w:rPr/>
        <w:t>Рецензия отчета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31" w:name="_Toc476674568"/>
      <w:bookmarkEnd w:id="31"/>
      <w:r>
        <w:rPr/>
        <w:t>Экспертная оценка</w:t>
      </w:r>
    </w:p>
    <w:p>
      <w:pPr>
        <w:pStyle w:val="Normal"/>
        <w:rPr>
          <w:i/>
          <w:i/>
        </w:rPr>
      </w:pPr>
      <w:r>
        <w:rPr/>
        <w:t>Экспертная оценка в 2019 году не проводилась.</w:t>
      </w:r>
    </w:p>
    <w:p>
      <w:pPr>
        <w:pStyle w:val="2"/>
        <w:numPr>
          <w:ilvl w:val="1"/>
          <w:numId w:val="2"/>
        </w:numPr>
        <w:ind w:left="851" w:hanging="851"/>
        <w:rPr/>
      </w:pPr>
      <w:bookmarkStart w:id="32" w:name="_Toc476674569"/>
      <w:r>
        <w:rPr/>
        <w:t>Общественная и дополнительная оценка</w:t>
      </w:r>
      <w:bookmarkEnd w:id="32"/>
      <w:r>
        <w:rPr/>
        <w:t xml:space="preserve"> </w:t>
      </w:r>
    </w:p>
    <w:p>
      <w:pPr>
        <w:pStyle w:val="Normal"/>
        <w:rPr/>
      </w:pPr>
      <w:r>
        <w:rPr/>
        <w:t xml:space="preserve">Отчет о ресурсной базе размещен на сайте районной администрации города Весьегонска, за отсутствием у ООО «ТехноАрс» собственного веб сайта. Любые заинтересованные стороны могут направить свои комментарии в адрес предприятия по адресу </w:t>
      </w:r>
      <w:hyperlink r:id="rId6">
        <w:r>
          <w:rPr>
            <w:webHidden/>
            <w:rStyle w:val="Style13"/>
            <w:vanish/>
          </w:rPr>
          <w:t>ooolaguna@inbox.ru</w:t>
        </w:r>
      </w:hyperlink>
      <w:r>
        <w:rPr/>
        <w:t xml:space="preserve"> Фуминой Нине Петровне, они будут приняты к рассмотрению.</w:t>
      </w:r>
    </w:p>
    <w:p>
      <w:pPr>
        <w:pStyle w:val="1"/>
        <w:numPr>
          <w:ilvl w:val="0"/>
          <w:numId w:val="2"/>
        </w:numPr>
        <w:ind w:left="851" w:hanging="851"/>
        <w:rPr/>
      </w:pPr>
      <w:r>
        <w:rPr/>
        <w:t>Утверждение отчета</w:t>
      </w:r>
    </w:p>
    <w:tbl>
      <w:tblPr>
        <w:tblStyle w:val="afa"/>
        <w:tblW w:w="9854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9"/>
        <w:gridCol w:w="3717"/>
        <w:gridCol w:w="2769"/>
        <w:gridCol w:w="1718"/>
      </w:tblGrid>
      <w:tr>
        <w:trPr>
          <w:trHeight w:val="647" w:hRule="atLeast"/>
        </w:trPr>
        <w:tc>
          <w:tcPr>
            <w:tcW w:w="9853" w:type="dxa"/>
            <w:gridSpan w:val="4"/>
            <w:tcBorders/>
            <w:shd w:color="auto" w:fill="315644" w:themeFill="accent3" w:themeFillShade="80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Утверждение Отчета о ресурсной базе высшим руководством</w:t>
            </w:r>
          </w:p>
        </w:tc>
      </w:tr>
      <w:tr>
        <w:trPr>
          <w:trHeight w:val="1052" w:hRule="atLeast"/>
        </w:trPr>
        <w:tc>
          <w:tcPr>
            <w:tcW w:w="1649" w:type="dxa"/>
            <w:vMerge w:val="restart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  <w:lang w:val="en-US"/>
              </w:rPr>
            </w:pPr>
            <w:r>
              <w:rPr>
                <w:b/>
              </w:rPr>
              <w:t>Отчет подготовлен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717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Нина Петровна Фумина</w:t>
            </w:r>
            <w:r>
              <w:rPr>
                <w:b/>
                <w:i/>
              </w:rPr>
              <w:drawing>
                <wp:inline distT="0" distB="0" distL="0" distR="0">
                  <wp:extent cx="1320800" cy="927100"/>
                  <wp:effectExtent l="0" t="0" r="0" b="0"/>
                  <wp:docPr id="6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Ответственная по </w:t>
            </w:r>
            <w:r>
              <w:rPr>
                <w:b/>
                <w:i/>
                <w:lang w:val="en-US"/>
              </w:rPr>
              <w:t xml:space="preserve">SBP </w:t>
            </w:r>
            <w:r>
              <w:rPr>
                <w:b/>
                <w:i/>
              </w:rPr>
              <w:t>сертификации</w:t>
            </w:r>
          </w:p>
        </w:tc>
        <w:tc>
          <w:tcPr>
            <w:tcW w:w="1718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/03/20</w:t>
            </w:r>
            <w:r>
              <w:rPr>
                <w:b/>
                <w:i/>
                <w:lang w:val="en-US"/>
              </w:rPr>
              <w:t>20</w:t>
            </w:r>
          </w:p>
        </w:tc>
      </w:tr>
      <w:tr>
        <w:trPr>
          <w:trHeight w:val="413" w:hRule="atLeast"/>
        </w:trPr>
        <w:tc>
          <w:tcPr>
            <w:tcW w:w="1649" w:type="dxa"/>
            <w:vMerge w:val="continue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717" w:type="dxa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2769" w:type="dxa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18" w:type="dxa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</w:tr>
      <w:tr>
        <w:trPr>
          <w:trHeight w:val="647" w:hRule="atLeast"/>
        </w:trPr>
        <w:tc>
          <w:tcPr>
            <w:tcW w:w="9853" w:type="dxa"/>
            <w:gridSpan w:val="4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  <w:t>Нижеподписавшиеся лица подтверждают, что я / мы являемся членами высшего руководства организации и подтверждаем, что содержание этого Отчета перед его утверждением и окончательным завершением было признано высшим руководством как точное.</w:t>
            </w:r>
          </w:p>
        </w:tc>
      </w:tr>
      <w:tr>
        <w:trPr>
          <w:trHeight w:val="1178" w:hRule="atLeast"/>
        </w:trPr>
        <w:tc>
          <w:tcPr>
            <w:tcW w:w="1649" w:type="dxa"/>
            <w:vMerge w:val="restart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  <w:lang w:val="en-US"/>
              </w:rPr>
            </w:pPr>
            <w:r>
              <w:rPr>
                <w:b/>
              </w:rPr>
              <w:t>Отчет утвержден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717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Брылев Игорь Валерьевич</w:t>
            </w:r>
            <w:bookmarkStart w:id="33" w:name="_GoBack"/>
            <w:bookmarkEnd w:id="33"/>
            <w:r>
              <w:rPr>
                <w:b/>
                <w:i/>
              </w:rPr>
              <w:drawing>
                <wp:inline distT="0" distB="0" distL="0" distR="0">
                  <wp:extent cx="501015" cy="765810"/>
                  <wp:effectExtent l="0" t="0" r="0" b="0"/>
                  <wp:docPr id="7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0" t="3343" r="6027" b="3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Директор</w:t>
            </w:r>
          </w:p>
        </w:tc>
        <w:tc>
          <w:tcPr>
            <w:tcW w:w="1718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/03/20</w:t>
            </w:r>
            <w:r>
              <w:rPr>
                <w:b/>
                <w:i/>
                <w:lang w:val="en-US"/>
              </w:rPr>
              <w:t>20</w:t>
            </w:r>
          </w:p>
        </w:tc>
      </w:tr>
      <w:tr>
        <w:trPr>
          <w:trHeight w:val="413" w:hRule="atLeast"/>
        </w:trPr>
        <w:tc>
          <w:tcPr>
            <w:tcW w:w="1649" w:type="dxa"/>
            <w:vMerge w:val="continue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717" w:type="dxa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2769" w:type="dxa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18" w:type="dxa"/>
            <w:tcBorders/>
            <w:shd w:color="auto" w:fill="A3CAB8" w:themeFill="accent3" w:themeFillTint="99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numPr>
          <w:ilvl w:val="0"/>
          <w:numId w:val="0"/>
        </w:numPr>
        <w:ind w:left="851" w:hanging="851"/>
        <w:rPr/>
      </w:pPr>
      <w:r>
        <w:rPr/>
        <w:t>13 Обновления</w:t>
      </w:r>
    </w:p>
    <w:p>
      <w:pPr>
        <w:pStyle w:val="2"/>
        <w:numPr>
          <w:ilvl w:val="0"/>
          <w:numId w:val="0"/>
        </w:numPr>
        <w:ind w:left="851" w:hanging="851"/>
        <w:rPr/>
      </w:pPr>
      <w:bookmarkStart w:id="34" w:name="_Toc476674572"/>
      <w:bookmarkEnd w:id="34"/>
      <w:r>
        <w:rPr/>
        <w:t>13.1 Значительные изменения в ресурсной базе</w:t>
      </w:r>
    </w:p>
    <w:p>
      <w:pPr>
        <w:pStyle w:val="Normal"/>
        <w:rPr/>
      </w:pPr>
      <w:r>
        <w:rPr>
          <w:i/>
        </w:rPr>
        <w:t>Не применимо.</w:t>
      </w:r>
    </w:p>
    <w:p>
      <w:pPr>
        <w:pStyle w:val="2"/>
        <w:numPr>
          <w:ilvl w:val="0"/>
          <w:numId w:val="0"/>
        </w:numPr>
        <w:ind w:left="851" w:hanging="851"/>
        <w:rPr/>
      </w:pPr>
      <w:bookmarkStart w:id="35" w:name="_Toc476674573"/>
      <w:bookmarkEnd w:id="35"/>
      <w:r>
        <w:rPr/>
        <w:t>13.2 Эффективность предыдущих мер по снижению уровня риска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2"/>
        <w:numPr>
          <w:ilvl w:val="0"/>
          <w:numId w:val="0"/>
        </w:numPr>
        <w:ind w:left="851" w:hanging="851"/>
        <w:rPr/>
      </w:pPr>
      <w:bookmarkStart w:id="36" w:name="_Toc476674574"/>
      <w:bookmarkEnd w:id="36"/>
      <w:r>
        <w:rPr/>
        <w:t>13.3 Новые уровни риска и меры по их снижению</w:t>
      </w:r>
    </w:p>
    <w:p>
      <w:pPr>
        <w:pStyle w:val="Normal"/>
        <w:rPr>
          <w:i/>
          <w:i/>
        </w:rPr>
      </w:pPr>
      <w:r>
        <w:rPr>
          <w:i/>
        </w:rPr>
        <w:t>Не применимо.</w:t>
      </w:r>
    </w:p>
    <w:p>
      <w:pPr>
        <w:pStyle w:val="2"/>
        <w:numPr>
          <w:ilvl w:val="0"/>
          <w:numId w:val="0"/>
        </w:numPr>
        <w:ind w:left="851" w:hanging="851"/>
        <w:rPr/>
      </w:pPr>
      <w:bookmarkStart w:id="37" w:name="_Toc476674575"/>
      <w:bookmarkEnd w:id="37"/>
      <w:r>
        <w:rPr/>
        <w:t>13.4 Актуальные данные по сырью за последние 12 месяцев</w:t>
      </w:r>
    </w:p>
    <w:p>
      <w:pPr>
        <w:pStyle w:val="Normal"/>
        <w:rPr/>
      </w:pPr>
      <w:r>
        <w:rPr>
          <w:highlight w:val="white"/>
        </w:rPr>
        <w:t xml:space="preserve">14 </w:t>
      </w:r>
      <w:r>
        <w:rPr>
          <w:highlight w:val="white"/>
          <w:lang w:val="en-US"/>
        </w:rPr>
        <w:t>729,4</w:t>
      </w:r>
      <w:r>
        <w:rPr>
          <w:highlight w:val="white"/>
        </w:rPr>
        <w:t xml:space="preserve"> тонн</w:t>
      </w:r>
    </w:p>
    <w:p>
      <w:pPr>
        <w:pStyle w:val="2"/>
        <w:numPr>
          <w:ilvl w:val="0"/>
          <w:numId w:val="0"/>
        </w:numPr>
        <w:ind w:left="851" w:hanging="851"/>
        <w:rPr/>
      </w:pPr>
      <w:bookmarkStart w:id="38" w:name="_Toc476674576"/>
      <w:bookmarkEnd w:id="38"/>
      <w:r>
        <w:rPr/>
        <w:t>13.5 Ожидаемые данные по сырью за следующие 12 месяцев</w:t>
      </w:r>
    </w:p>
    <w:p>
      <w:pPr>
        <w:pStyle w:val="Normal"/>
        <w:rPr>
          <w:highlight w:val="yellow"/>
        </w:rPr>
      </w:pPr>
      <w:r>
        <w:rPr>
          <w:highlight w:val="white"/>
        </w:rPr>
        <w:t>15 000 тонн</w:t>
      </w:r>
    </w:p>
    <w:p>
      <w:pPr>
        <w:pStyle w:val="Normal"/>
        <w:rPr/>
      </w:pPr>
      <w:r>
        <w:rPr/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134" w:right="1134" w:header="1134" w:top="2386" w:footer="680" w:bottom="1134" w:gutter="0"/>
      <w:pgNumType w:fmt="lowerRoman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 Symbol">
    <w:charset w:val="cc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6498879"/>
    </w:sdtPr>
    <w:sdtContent>
      <w:p>
        <w:pPr>
          <w:pStyle w:val="Style24"/>
          <w:jc w:val="left"/>
          <w:rPr/>
        </w:pPr>
        <w:r>
          <w:rPr/>
          <w:t xml:space="preserve">SBP Framework Supply Base Report: Template for BPs v1.3 </w:t>
          <w:tab/>
          <w:t xml:space="preserve">Page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vi</w:t>
        </w:r>
        <w: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drawing>
        <wp:anchor behindDoc="1" distT="0" distB="0" distL="133350" distR="123190" simplePos="0" locked="0" layoutInCell="1" allowOverlap="1" relativeHeight="3">
          <wp:simplePos x="0" y="0"/>
          <wp:positionH relativeFrom="page">
            <wp:posOffset>-71755</wp:posOffset>
          </wp:positionH>
          <wp:positionV relativeFrom="page">
            <wp:align>bottom</wp:align>
          </wp:positionV>
          <wp:extent cx="7560310" cy="1209675"/>
          <wp:effectExtent l="0" t="0" r="0" b="0"/>
          <wp:wrapNone/>
          <wp:docPr id="13" name="Picture 29" descr="C:\Users\jon.hurley.SWITCH\Desktop\sbpfoot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9" descr="C:\Users\jon.hurley.SWITCH\Desktop\sbpfoot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3190" simplePos="0" locked="0" layoutInCell="1" allowOverlap="1" relativeHeight="4">
          <wp:simplePos x="0" y="0"/>
          <wp:positionH relativeFrom="page">
            <wp:posOffset>-46990</wp:posOffset>
          </wp:positionH>
          <wp:positionV relativeFrom="page">
            <wp:posOffset>8809990</wp:posOffset>
          </wp:positionV>
          <wp:extent cx="7560310" cy="733425"/>
          <wp:effectExtent l="0" t="0" r="0" b="0"/>
          <wp:wrapNone/>
          <wp:docPr id="14" name="Picture 6" descr="C:\Users\jon.hurley.SWITCH\Desktop\clou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 descr="C:\Users\jon.hurley.SWITCH\Desktop\cloud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Fonts w:ascii="Georgia" w:hAnsi="Georgia" w:asciiTheme="majorHAnsi" w:hAnsiTheme="majorHAnsi"/>
        <w:color w:val="8AB059"/>
        <w:sz w:val="28"/>
        <w:szCs w:val="2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4" wp14:anchorId="11A643C0">
              <wp:simplePos x="0" y="0"/>
              <wp:positionH relativeFrom="page">
                <wp:posOffset>0</wp:posOffset>
              </wp:positionH>
              <wp:positionV relativeFrom="page">
                <wp:posOffset>-9525</wp:posOffset>
              </wp:positionV>
              <wp:extent cx="7566660" cy="1086485"/>
              <wp:effectExtent l="0" t="0" r="2540" b="5715"/>
              <wp:wrapNone/>
              <wp:docPr id="8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1085760"/>
                      </a:xfrm>
                      <a:prstGeom prst="rect">
                        <a:avLst/>
                      </a:prstGeom>
                      <a:solidFill>
                        <a:srgbClr val="d9e9e2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fillcolor="#d9e9e2" stroked="f" style="position:absolute;margin-left:0pt;margin-top:-0.75pt;width:595.7pt;height:85.45pt;mso-position-horizontal-relative:page;mso-position-vertical-relative:page" wp14:anchorId="11A643C0">
              <w10:wrap type="none"/>
              <v:fill o:detectmouseclick="t" type="solid" color2="#26161d"/>
              <v:stroke color="#3465a4" joinstyle="round" endcap="flat"/>
            </v:rect>
          </w:pict>
        </mc:Fallback>
      </mc:AlternateContent>
      <w:drawing>
        <wp:anchor behindDoc="1" distT="0" distB="0" distL="133350" distR="123190" simplePos="0" locked="0" layoutInCell="1" allowOverlap="1" relativeHeight="43">
          <wp:simplePos x="0" y="0"/>
          <wp:positionH relativeFrom="page">
            <wp:posOffset>-518160</wp:posOffset>
          </wp:positionH>
          <wp:positionV relativeFrom="page">
            <wp:posOffset>-381635</wp:posOffset>
          </wp:positionV>
          <wp:extent cx="7560310" cy="819150"/>
          <wp:effectExtent l="0" t="0" r="0" b="0"/>
          <wp:wrapNone/>
          <wp:docPr id="9" name="Picture 8" descr="C:\Users\jon.hurley.SWITCH\Desktop\clou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jon.hurley.SWITCH\Desktop\clou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270" distL="114300" distR="118110" simplePos="0" locked="0" layoutInCell="1" allowOverlap="1" relativeHeight="64">
          <wp:simplePos x="0" y="0"/>
          <wp:positionH relativeFrom="column">
            <wp:posOffset>4977765</wp:posOffset>
          </wp:positionH>
          <wp:positionV relativeFrom="paragraph">
            <wp:posOffset>-539750</wp:posOffset>
          </wp:positionV>
          <wp:extent cx="1482090" cy="862965"/>
          <wp:effectExtent l="0" t="0" r="0" b="0"/>
          <wp:wrapNone/>
          <wp:docPr id="10" name="Picture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 w:asciiTheme="majorHAnsi" w:hAnsiTheme="majorHAnsi"/>
        <w:color w:val="8AB059"/>
        <w:sz w:val="28"/>
        <w:szCs w:val="28"/>
      </w:rPr>
      <w:t>Focusing on sustainable sourcing solutions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114300" distR="112395" simplePos="0" locked="0" layoutInCell="1" allowOverlap="1" relativeHeight="2" wp14:anchorId="3281C4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16825" cy="10760075"/>
              <wp:effectExtent l="0" t="0" r="9525" b="9525"/>
              <wp:wrapNone/>
              <wp:docPr id="1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160" cy="10759320"/>
                      </a:xfrm>
                      <a:prstGeom prst="rect">
                        <a:avLst/>
                      </a:prstGeom>
                      <a:solidFill>
                        <a:srgbClr val="d9e9e2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fillcolor="#d9e9e2" stroked="f" style="position:absolute;margin-left:0pt;margin-top:0pt;width:599.65pt;height:847.15pt;mso-position-horizontal-relative:page;mso-position-vertical-relative:page" wp14:anchorId="3281C4C3">
              <w10:wrap type="none"/>
              <v:fill o:detectmouseclick="t" type="solid" color2="#26161d"/>
              <v:stroke color="#3465a4" joinstyle="round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44">
          <wp:simplePos x="0" y="0"/>
          <wp:positionH relativeFrom="column">
            <wp:posOffset>4104005</wp:posOffset>
          </wp:positionH>
          <wp:positionV relativeFrom="paragraph">
            <wp:posOffset>-479425</wp:posOffset>
          </wp:positionV>
          <wp:extent cx="2098040" cy="1263650"/>
          <wp:effectExtent l="0" t="0" r="0" b="0"/>
          <wp:wrapNone/>
          <wp:docPr id="1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644" w:hanging="360"/>
      </w:pPr>
    </w:lvl>
    <w:lvl w:ilvl="1">
      <w:start w:val="1"/>
      <w:pStyle w:val="2"/>
      <w:numFmt w:val="decimal"/>
      <w:lvlText w:val="%1.%2"/>
      <w:lvlJc w:val="left"/>
      <w:pPr>
        <w:ind w:left="720" w:hanging="360"/>
      </w:pPr>
    </w:lvl>
    <w:lvl w:ilvl="2">
      <w:start w:val="1"/>
      <w:pStyle w:val="3"/>
      <w:numFmt w:val="decimal"/>
      <w:lvlText w:val="%1.%2.%3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1080" w:hanging="360"/>
      </w:pPr>
      <w:rPr>
        <w:rFonts w:ascii="Arial" w:hAnsi="Arial" w:cs="Arial" w:hint="default"/>
        <w:rFonts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b5a9c"/>
    <w:pPr>
      <w:widowControl/>
      <w:bidi w:val="0"/>
      <w:jc w:val="left"/>
    </w:pPr>
    <w:rPr>
      <w:rFonts w:ascii="Times New Roman" w:hAnsi="Times New Roman" w:eastAsia="Arial" w:cs="Times New Roman" w:eastAsiaTheme="minorHAnsi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7b4310"/>
    <w:pPr>
      <w:keepNext/>
      <w:keepLines/>
      <w:pageBreakBefore/>
      <w:numPr>
        <w:ilvl w:val="0"/>
        <w:numId w:val="1"/>
      </w:numPr>
      <w:spacing w:before="480" w:after="240"/>
      <w:outlineLvl w:val="0"/>
    </w:pPr>
    <w:rPr>
      <w:rFonts w:ascii="Georgia" w:hAnsi="Georgia" w:eastAsia="" w:cs="" w:asciiTheme="majorHAnsi" w:cstheme="majorBidi" w:eastAsiaTheme="majorEastAsia" w:hAnsiTheme="majorHAnsi"/>
      <w:bCs/>
      <w:color w:val="3D946D"/>
      <w:sz w:val="48"/>
      <w:szCs w:val="48"/>
    </w:rPr>
  </w:style>
  <w:style w:type="paragraph" w:styleId="2">
    <w:name w:val="Heading 2"/>
    <w:basedOn w:val="1"/>
    <w:link w:val="20"/>
    <w:uiPriority w:val="9"/>
    <w:unhideWhenUsed/>
    <w:qFormat/>
    <w:rsid w:val="007b4310"/>
    <w:pPr>
      <w:pageBreakBefore w:val="false"/>
      <w:numPr>
        <w:ilvl w:val="1"/>
        <w:numId w:val="1"/>
      </w:numPr>
      <w:spacing w:before="360" w:after="120"/>
      <w:ind w:left="851" w:hanging="851"/>
      <w:outlineLvl w:val="1"/>
    </w:pPr>
    <w:rPr>
      <w:bCs w:val="false"/>
      <w:sz w:val="36"/>
      <w:szCs w:val="36"/>
    </w:rPr>
  </w:style>
  <w:style w:type="paragraph" w:styleId="3">
    <w:name w:val="Heading 3"/>
    <w:basedOn w:val="2"/>
    <w:link w:val="30"/>
    <w:uiPriority w:val="9"/>
    <w:unhideWhenUsed/>
    <w:qFormat/>
    <w:rsid w:val="00f04032"/>
    <w:pPr>
      <w:numPr>
        <w:ilvl w:val="2"/>
        <w:numId w:val="1"/>
      </w:numPr>
      <w:spacing w:before="240" w:after="120"/>
      <w:ind w:left="1701" w:hanging="850"/>
      <w:outlineLvl w:val="2"/>
    </w:pPr>
    <w:rPr>
      <w:bCs/>
      <w:sz w:val="32"/>
      <w:szCs w:val="32"/>
    </w:rPr>
  </w:style>
  <w:style w:type="paragraph" w:styleId="4">
    <w:name w:val="Heading 4"/>
    <w:basedOn w:val="Normal"/>
    <w:link w:val="40"/>
    <w:uiPriority w:val="9"/>
    <w:unhideWhenUsed/>
    <w:qFormat/>
    <w:rsid w:val="005b0a2b"/>
    <w:pPr>
      <w:keepNext/>
      <w:keepLines/>
      <w:spacing w:lineRule="auto" w:line="312" w:before="240" w:after="120"/>
      <w:ind w:left="1701" w:hanging="850"/>
      <w:outlineLvl w:val="3"/>
    </w:pPr>
    <w:rPr>
      <w:rFonts w:ascii="Georgia" w:hAnsi="Georgia" w:eastAsia="" w:cs="" w:asciiTheme="majorHAnsi" w:cstheme="majorBidi" w:eastAsiaTheme="majorEastAsia" w:hAnsiTheme="majorHAnsi"/>
      <w:bCs/>
      <w:iCs/>
      <w:color w:val="3D946D"/>
      <w:sz w:val="28"/>
      <w:szCs w:val="28"/>
      <w:lang w:val="en-GB" w:eastAsia="en-US"/>
    </w:rPr>
  </w:style>
  <w:style w:type="paragraph" w:styleId="5">
    <w:name w:val="Heading 5"/>
    <w:basedOn w:val="Normal"/>
    <w:link w:val="50"/>
    <w:uiPriority w:val="9"/>
    <w:unhideWhenUsed/>
    <w:qFormat/>
    <w:rsid w:val="00360fa4"/>
    <w:pPr>
      <w:keepNext/>
      <w:keepLines/>
      <w:spacing w:lineRule="auto" w:line="312" w:before="40" w:after="0"/>
      <w:outlineLvl w:val="4"/>
    </w:pPr>
    <w:rPr>
      <w:rFonts w:ascii="Georgia" w:hAnsi="Georgia" w:eastAsia="" w:cs="" w:asciiTheme="majorHAnsi" w:cstheme="majorBidi" w:eastAsiaTheme="majorEastAsia" w:hAnsiTheme="majorHAnsi"/>
      <w:color w:val="92BDA9" w:themeColor="accent1" w:themeShade="bf"/>
      <w:sz w:val="20"/>
      <w:szCs w:val="20"/>
      <w:lang w:val="en-GB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836d4b"/>
    <w:rPr/>
  </w:style>
  <w:style w:type="character" w:styleId="Style10" w:customStyle="1">
    <w:name w:val="Нижний колонтитул Знак"/>
    <w:basedOn w:val="DefaultParagraphFont"/>
    <w:uiPriority w:val="99"/>
    <w:qFormat/>
    <w:rsid w:val="0060397e"/>
    <w:rPr>
      <w:color w:val="3D946D"/>
      <w:sz w:val="18"/>
      <w:szCs w:val="20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836d4b"/>
    <w:rPr>
      <w:rFonts w:ascii="Tahoma" w:hAnsi="Tahoma" w:cs="Tahoma"/>
      <w:sz w:val="16"/>
      <w:szCs w:val="16"/>
    </w:rPr>
  </w:style>
  <w:style w:type="character" w:styleId="Style12" w:customStyle="1">
    <w:name w:val="Название Знак"/>
    <w:basedOn w:val="DefaultParagraphFont"/>
    <w:qFormat/>
    <w:rsid w:val="00b94d3b"/>
    <w:rPr>
      <w:rFonts w:ascii="Georgia" w:hAnsi="Georgia" w:eastAsia="" w:cs="" w:cstheme="majorBidi" w:eastAsiaTheme="majorEastAsia"/>
      <w:color w:val="3D946D"/>
      <w:spacing w:val="5"/>
      <w:kern w:val="2"/>
      <w:sz w:val="80"/>
      <w:szCs w:val="8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b4310"/>
    <w:rPr>
      <w:rFonts w:ascii="Georgia" w:hAnsi="Georgia" w:eastAsia="" w:cs="" w:asciiTheme="majorHAnsi" w:cstheme="majorBidi" w:eastAsiaTheme="majorEastAsia" w:hAnsiTheme="majorHAnsi"/>
      <w:bCs/>
      <w:color w:val="3D946D"/>
      <w:sz w:val="48"/>
      <w:szCs w:val="48"/>
    </w:rPr>
  </w:style>
  <w:style w:type="character" w:styleId="Style13">
    <w:name w:val="Интернет-ссылка"/>
    <w:basedOn w:val="DefaultParagraphFont"/>
    <w:uiPriority w:val="99"/>
    <w:unhideWhenUsed/>
    <w:rsid w:val="0016424d"/>
    <w:rPr>
      <w:color w:val="0B6F3E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b4310"/>
    <w:rPr>
      <w:rFonts w:ascii="Georgia" w:hAnsi="Georgia" w:eastAsia="" w:cs="" w:asciiTheme="majorHAnsi" w:cstheme="majorBidi" w:eastAsiaTheme="majorEastAsia" w:hAnsiTheme="majorHAnsi"/>
      <w:color w:val="3D946D"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04032"/>
    <w:rPr>
      <w:rFonts w:ascii="Georgia" w:hAnsi="Georgia" w:eastAsia="" w:cs="" w:asciiTheme="majorHAnsi" w:cstheme="majorBidi" w:eastAsiaTheme="majorEastAsia" w:hAnsiTheme="majorHAnsi"/>
      <w:bCs/>
      <w:color w:val="3D946D"/>
      <w:sz w:val="32"/>
      <w:szCs w:val="32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b0a2b"/>
    <w:rPr>
      <w:rFonts w:ascii="Georgia" w:hAnsi="Georgia" w:eastAsia="" w:cs="" w:asciiTheme="majorHAnsi" w:cstheme="majorBidi" w:eastAsiaTheme="majorEastAsia" w:hAnsiTheme="majorHAnsi"/>
      <w:bCs/>
      <w:iCs/>
      <w:color w:val="3D946D"/>
      <w:sz w:val="28"/>
      <w:szCs w:val="28"/>
    </w:rPr>
  </w:style>
  <w:style w:type="character" w:styleId="IndentedChar" w:customStyle="1">
    <w:name w:val="Indented Char"/>
    <w:basedOn w:val="DefaultParagraphFont"/>
    <w:link w:val="Indented"/>
    <w:qFormat/>
    <w:rsid w:val="004309b9"/>
    <w:rPr>
      <w:sz w:val="20"/>
      <w:szCs w:val="20"/>
    </w:rPr>
  </w:style>
  <w:style w:type="character" w:styleId="IntentedBulletChar" w:customStyle="1">
    <w:name w:val="Intented Bullet Char"/>
    <w:basedOn w:val="IndentedChar"/>
    <w:link w:val="IntentedBullet"/>
    <w:qFormat/>
    <w:rsid w:val="004309b9"/>
    <w:rPr>
      <w:sz w:val="20"/>
      <w:szCs w:val="20"/>
    </w:rPr>
  </w:style>
  <w:style w:type="character" w:styleId="SubheadingChar" w:customStyle="1">
    <w:name w:val="Sub heading Char"/>
    <w:basedOn w:val="41"/>
    <w:link w:val="Subheading"/>
    <w:qFormat/>
    <w:rsid w:val="00f5639c"/>
    <w:rPr>
      <w:rFonts w:ascii="Georgia" w:hAnsi="Georgia" w:eastAsia="" w:cs="" w:asciiTheme="majorHAnsi" w:cstheme="majorBidi" w:eastAsiaTheme="majorEastAsia" w:hAnsiTheme="majorHAnsi"/>
      <w:bCs/>
      <w:iCs/>
      <w:color w:val="8AB059"/>
      <w:sz w:val="28"/>
      <w:szCs w:val="28"/>
    </w:rPr>
  </w:style>
  <w:style w:type="character" w:styleId="TableChar" w:customStyle="1">
    <w:name w:val="Table Char"/>
    <w:basedOn w:val="DefaultParagraphFont"/>
    <w:link w:val="a7"/>
    <w:qFormat/>
    <w:rsid w:val="007c5eae"/>
    <w:rPr>
      <w:sz w:val="18"/>
      <w:szCs w:val="18"/>
    </w:rPr>
  </w:style>
  <w:style w:type="character" w:styleId="TableBulletChar" w:customStyle="1">
    <w:name w:val="Table Bullet Char"/>
    <w:basedOn w:val="TableChar"/>
    <w:link w:val="TableBullet"/>
    <w:qFormat/>
    <w:rsid w:val="007c5eae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qFormat/>
    <w:rsid w:val="00912623"/>
    <w:rPr/>
  </w:style>
  <w:style w:type="character" w:styleId="51" w:customStyle="1">
    <w:name w:val="Заголовок 5 Знак"/>
    <w:basedOn w:val="DefaultParagraphFont"/>
    <w:link w:val="5"/>
    <w:uiPriority w:val="9"/>
    <w:qFormat/>
    <w:rsid w:val="00360fa4"/>
    <w:rPr>
      <w:rFonts w:ascii="Georgia" w:hAnsi="Georgia" w:eastAsia="" w:cs="" w:asciiTheme="majorHAnsi" w:cstheme="majorBidi" w:eastAsiaTheme="majorEastAsia" w:hAnsiTheme="majorHAnsi"/>
      <w:color w:val="92BDA9" w:themeColor="accent1" w:themeShade="bf"/>
      <w:sz w:val="20"/>
      <w:szCs w:val="20"/>
    </w:rPr>
  </w:style>
  <w:style w:type="character" w:styleId="Strong">
    <w:name w:val="Strong"/>
    <w:uiPriority w:val="22"/>
    <w:qFormat/>
    <w:rsid w:val="00302224"/>
    <w:rPr>
      <w:b/>
      <w:bCs/>
    </w:rPr>
  </w:style>
  <w:style w:type="character" w:styleId="Style14" w:customStyle="1">
    <w:name w:val="Основной текст Знак"/>
    <w:basedOn w:val="DefaultParagraphFont"/>
    <w:qFormat/>
    <w:rsid w:val="00302224"/>
    <w:rPr>
      <w:rFonts w:ascii="Calibri" w:hAnsi="Calibri" w:eastAsia="Calibri" w:cs="Times New Roman"/>
      <w:lang w:val="ru-RU"/>
    </w:rPr>
  </w:style>
  <w:style w:type="character" w:styleId="Appleconvertedspace" w:customStyle="1">
    <w:name w:val="apple-converted-space"/>
    <w:basedOn w:val="DefaultParagraphFont"/>
    <w:qFormat/>
    <w:rsid w:val="00f32b3a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eastAsia="Arial" w:cs="Arial"/>
    </w:rPr>
  </w:style>
  <w:style w:type="character" w:styleId="ListLabel23" w:customStyle="1">
    <w:name w:val="ListLabel 23"/>
    <w:qFormat/>
    <w:rPr>
      <w:rFonts w:eastAsia="Aria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eastAsia="Aria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eastAsia="Aria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eastAsia="Aria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eastAsia="Aria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eastAsia="Aria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eastAsia="Aria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Style15" w:customStyle="1">
    <w:name w:val="Ссылка указателя"/>
    <w:qFormat/>
    <w:rPr/>
  </w:style>
  <w:style w:type="character" w:styleId="Style16" w:customStyle="1">
    <w:name w:val="Заголовок Знак"/>
    <w:basedOn w:val="DefaultParagraphFont"/>
    <w:link w:val="ac"/>
    <w:qFormat/>
    <w:rsid w:val="009359f9"/>
    <w:rPr>
      <w:rFonts w:ascii="Georgia" w:hAnsi="Georgia" w:eastAsia="" w:cs="" w:cstheme="majorBidi" w:eastAsiaTheme="majorEastAsia"/>
      <w:color w:val="3D946D"/>
      <w:spacing w:val="5"/>
      <w:kern w:val="2"/>
      <w:sz w:val="80"/>
      <w:szCs w:val="80"/>
    </w:rPr>
  </w:style>
  <w:style w:type="character" w:styleId="UnresolvedMention">
    <w:name w:val="Unresolved Mention"/>
    <w:basedOn w:val="DefaultParagraphFont"/>
    <w:uiPriority w:val="99"/>
    <w:qFormat/>
    <w:rsid w:val="0016424d"/>
    <w:rPr>
      <w:color w:val="605E5C"/>
      <w:shd w:fill="E1DFDD" w:val="clear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Arial"/>
    </w:rPr>
  </w:style>
  <w:style w:type="character" w:styleId="ListLabel56">
    <w:name w:val="ListLabel 56"/>
    <w:qFormat/>
    <w:rPr>
      <w:rFonts w:cs="Arial"/>
    </w:rPr>
  </w:style>
  <w:style w:type="character" w:styleId="ListLabel57">
    <w:name w:val="ListLabel 57"/>
    <w:qFormat/>
    <w:rPr>
      <w:rFonts w:cs="Arial"/>
    </w:rPr>
  </w:style>
  <w:style w:type="character" w:styleId="ListLabel58">
    <w:name w:val="ListLabel 58"/>
    <w:qFormat/>
    <w:rPr>
      <w:rFonts w:cs="Arial"/>
    </w:rPr>
  </w:style>
  <w:style w:type="character" w:styleId="ListLabel59">
    <w:name w:val="ListLabel 59"/>
    <w:qFormat/>
    <w:rPr>
      <w:rFonts w:cs="Arial"/>
    </w:rPr>
  </w:style>
  <w:style w:type="character" w:styleId="ListLabel60">
    <w:name w:val="ListLabel 60"/>
    <w:qFormat/>
    <w:rPr>
      <w:rFonts w:cs="Arial"/>
    </w:rPr>
  </w:style>
  <w:style w:type="character" w:styleId="ListLabel61">
    <w:name w:val="ListLabel 61"/>
    <w:qFormat/>
    <w:rPr>
      <w:rFonts w:cs="Arial"/>
    </w:rPr>
  </w:style>
  <w:style w:type="character" w:styleId="ListLabel62">
    <w:name w:val="ListLabel 62"/>
    <w:qFormat/>
    <w:rPr>
      <w:rFonts w:cs="Aria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302224"/>
    <w:pPr>
      <w:spacing w:lineRule="auto" w:line="276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link w:val="ae"/>
    <w:qFormat/>
    <w:rsid w:val="00b94d3b"/>
    <w:pPr>
      <w:spacing w:before="0" w:after="300"/>
      <w:contextualSpacing/>
    </w:pPr>
    <w:rPr>
      <w:rFonts w:ascii="Georgia" w:hAnsi="Georgia" w:eastAsia="" w:cs="" w:cstheme="majorBidi" w:eastAsiaTheme="majorEastAsia"/>
      <w:color w:val="3D946D"/>
      <w:spacing w:val="5"/>
      <w:kern w:val="2"/>
      <w:sz w:val="80"/>
      <w:szCs w:val="80"/>
      <w:lang w:val="en-GB" w:eastAsia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uiPriority w:val="99"/>
    <w:unhideWhenUsed/>
    <w:rsid w:val="00836d4b"/>
    <w:pPr>
      <w:tabs>
        <w:tab w:val="center" w:pos="4513" w:leader="none"/>
        <w:tab w:val="right" w:pos="9026" w:leader="none"/>
      </w:tabs>
    </w:pPr>
    <w:rPr>
      <w:rFonts w:ascii="Arial" w:hAnsi="Arial" w:cs="" w:asciiTheme="minorHAnsi" w:cstheme="minorBidi" w:hAnsiTheme="minorHAnsi"/>
      <w:sz w:val="20"/>
      <w:szCs w:val="20"/>
      <w:lang w:val="en-GB" w:eastAsia="en-US"/>
    </w:rPr>
  </w:style>
  <w:style w:type="paragraph" w:styleId="Style24">
    <w:name w:val="Footer"/>
    <w:basedOn w:val="Normal"/>
    <w:uiPriority w:val="99"/>
    <w:unhideWhenUsed/>
    <w:rsid w:val="0060397e"/>
    <w:pPr>
      <w:tabs>
        <w:tab w:val="center" w:pos="4513" w:leader="none"/>
        <w:tab w:val="right" w:pos="9026" w:leader="none"/>
      </w:tabs>
      <w:jc w:val="right"/>
    </w:pPr>
    <w:rPr>
      <w:rFonts w:ascii="Arial" w:hAnsi="Arial" w:cs="" w:asciiTheme="minorHAnsi" w:cstheme="minorBidi" w:hAnsiTheme="minorHAnsi"/>
      <w:color w:val="3D946D"/>
      <w:sz w:val="18"/>
      <w:szCs w:val="20"/>
      <w:lang w:val="en-GB"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836d4b"/>
    <w:pPr/>
    <w:rPr>
      <w:rFonts w:ascii="Tahoma" w:hAnsi="Tahoma" w:cs="Tahoma"/>
      <w:sz w:val="16"/>
      <w:szCs w:val="16"/>
    </w:rPr>
  </w:style>
  <w:style w:type="paragraph" w:styleId="TOCHeading">
    <w:name w:val="TOC Heading"/>
    <w:uiPriority w:val="39"/>
    <w:unhideWhenUsed/>
    <w:qFormat/>
    <w:rsid w:val="00f04032"/>
    <w:pPr>
      <w:widowControl/>
      <w:bidi w:val="0"/>
      <w:jc w:val="left"/>
    </w:pPr>
    <w:rPr>
      <w:rFonts w:ascii="Georgia" w:hAnsi="Georgia" w:eastAsia="" w:cs="" w:asciiTheme="majorHAnsi" w:cstheme="majorBidi" w:eastAsiaTheme="majorEastAsia" w:hAnsiTheme="majorHAnsi"/>
      <w:bCs/>
      <w:color w:val="3D946D"/>
      <w:kern w:val="0"/>
      <w:sz w:val="48"/>
      <w:szCs w:val="48"/>
      <w:lang w:val="en-US" w:eastAsia="en-US" w:bidi="ar-SA"/>
    </w:rPr>
  </w:style>
  <w:style w:type="paragraph" w:styleId="12">
    <w:name w:val="TOC 1"/>
    <w:basedOn w:val="Normal"/>
    <w:autoRedefine/>
    <w:uiPriority w:val="39"/>
    <w:unhideWhenUsed/>
    <w:rsid w:val="009876e0"/>
    <w:pPr>
      <w:tabs>
        <w:tab w:val="left" w:pos="567" w:leader="none"/>
        <w:tab w:val="right" w:pos="9639" w:leader="dot"/>
      </w:tabs>
      <w:spacing w:lineRule="auto" w:line="312" w:before="0" w:after="100"/>
      <w:ind w:left="567" w:right="282" w:hanging="567"/>
    </w:pPr>
    <w:rPr>
      <w:rFonts w:ascii="Arial" w:hAnsi="Arial" w:cs="" w:asciiTheme="minorHAnsi" w:cstheme="minorBidi" w:hAnsiTheme="minorHAnsi"/>
      <w:b/>
      <w:sz w:val="20"/>
      <w:szCs w:val="20"/>
      <w:lang w:val="en-GB" w:eastAsia="en-US"/>
    </w:rPr>
  </w:style>
  <w:style w:type="paragraph" w:styleId="22">
    <w:name w:val="TOC 2"/>
    <w:basedOn w:val="Normal"/>
    <w:autoRedefine/>
    <w:uiPriority w:val="39"/>
    <w:unhideWhenUsed/>
    <w:rsid w:val="00f5639c"/>
    <w:pPr>
      <w:tabs>
        <w:tab w:val="left" w:pos="567" w:leader="none"/>
        <w:tab w:val="right" w:pos="9628" w:leader="dot"/>
      </w:tabs>
      <w:spacing w:lineRule="auto" w:line="312" w:before="0" w:after="100"/>
    </w:pPr>
    <w:rPr>
      <w:rFonts w:ascii="Arial" w:hAnsi="Arial" w:cs="" w:asciiTheme="minorHAnsi" w:cstheme="minorBidi" w:hAnsiTheme="minorHAnsi"/>
      <w:sz w:val="20"/>
      <w:szCs w:val="20"/>
      <w:lang w:val="en-GB" w:eastAsia="en-US"/>
    </w:rPr>
  </w:style>
  <w:style w:type="paragraph" w:styleId="Indented" w:customStyle="1">
    <w:name w:val="Indented"/>
    <w:basedOn w:val="Normal"/>
    <w:link w:val="IndentedChar"/>
    <w:qFormat/>
    <w:rsid w:val="004309b9"/>
    <w:pPr>
      <w:spacing w:lineRule="auto" w:line="312" w:before="0" w:after="200"/>
      <w:ind w:left="851" w:hanging="0"/>
    </w:pPr>
    <w:rPr>
      <w:rFonts w:ascii="Arial" w:hAnsi="Arial" w:cs="" w:asciiTheme="minorHAnsi" w:cstheme="minorBidi" w:hAnsiTheme="minorHAnsi"/>
      <w:sz w:val="20"/>
      <w:szCs w:val="20"/>
      <w:lang w:val="en-GB" w:eastAsia="en-US"/>
    </w:rPr>
  </w:style>
  <w:style w:type="paragraph" w:styleId="32">
    <w:name w:val="TOC 3"/>
    <w:basedOn w:val="Normal"/>
    <w:autoRedefine/>
    <w:uiPriority w:val="39"/>
    <w:unhideWhenUsed/>
    <w:rsid w:val="0083069a"/>
    <w:pPr>
      <w:tabs>
        <w:tab w:val="left" w:pos="1418" w:leader="none"/>
        <w:tab w:val="right" w:pos="9628" w:leader="dot"/>
      </w:tabs>
      <w:spacing w:lineRule="auto" w:line="312" w:before="0" w:after="100"/>
      <w:ind w:left="567" w:hanging="0"/>
    </w:pPr>
    <w:rPr>
      <w:rFonts w:ascii="Arial" w:hAnsi="Arial" w:cs="" w:asciiTheme="minorHAnsi" w:cstheme="minorBidi" w:hAnsiTheme="minorHAnsi"/>
      <w:sz w:val="20"/>
      <w:szCs w:val="20"/>
      <w:lang w:val="en-GB" w:eastAsia="en-US"/>
    </w:rPr>
  </w:style>
  <w:style w:type="paragraph" w:styleId="42">
    <w:name w:val="TOC 4"/>
    <w:basedOn w:val="Normal"/>
    <w:autoRedefine/>
    <w:uiPriority w:val="39"/>
    <w:unhideWhenUsed/>
    <w:rsid w:val="0083069a"/>
    <w:pPr>
      <w:tabs>
        <w:tab w:val="left" w:pos="1701" w:leader="none"/>
        <w:tab w:val="right" w:pos="9628" w:leader="dot"/>
      </w:tabs>
      <w:spacing w:lineRule="auto" w:line="312" w:before="0" w:after="100"/>
      <w:ind w:left="851" w:hanging="0"/>
    </w:pPr>
    <w:rPr>
      <w:rFonts w:ascii="Arial" w:hAnsi="Arial" w:cs="" w:asciiTheme="minorHAnsi" w:cstheme="minorBidi" w:hAnsiTheme="minorHAnsi"/>
      <w:i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4309b9"/>
    <w:pPr>
      <w:spacing w:lineRule="auto" w:line="312" w:before="0" w:after="200"/>
      <w:contextualSpacing/>
    </w:pPr>
    <w:rPr>
      <w:rFonts w:ascii="Arial" w:hAnsi="Arial" w:cs="" w:asciiTheme="minorHAnsi" w:cstheme="minorBidi" w:hAnsiTheme="minorHAnsi"/>
      <w:sz w:val="20"/>
      <w:szCs w:val="20"/>
      <w:lang w:val="en-GB" w:eastAsia="en-US"/>
    </w:rPr>
  </w:style>
  <w:style w:type="paragraph" w:styleId="IntentedBullet" w:customStyle="1">
    <w:name w:val="Intented Bullet"/>
    <w:basedOn w:val="Indented"/>
    <w:link w:val="IntentedBulletChar"/>
    <w:qFormat/>
    <w:rsid w:val="004309b9"/>
    <w:pPr>
      <w:spacing w:before="0" w:after="200"/>
      <w:ind w:left="1276" w:hanging="425"/>
      <w:contextualSpacing/>
    </w:pPr>
    <w:rPr/>
  </w:style>
  <w:style w:type="paragraph" w:styleId="Subheading" w:customStyle="1">
    <w:name w:val="Sub heading"/>
    <w:basedOn w:val="4"/>
    <w:link w:val="SubheadingChar"/>
    <w:qFormat/>
    <w:rsid w:val="00f5639c"/>
    <w:pPr/>
    <w:rPr>
      <w:color w:val="8AB059"/>
    </w:rPr>
  </w:style>
  <w:style w:type="paragraph" w:styleId="Style25" w:customStyle="1">
    <w:name w:val="Таблица"/>
    <w:basedOn w:val="Normal"/>
    <w:link w:val="TableChar"/>
    <w:qFormat/>
    <w:rsid w:val="007c5eae"/>
    <w:pPr>
      <w:spacing w:lineRule="auto" w:line="276" w:before="120" w:after="120"/>
    </w:pPr>
    <w:rPr>
      <w:rFonts w:ascii="Arial" w:hAnsi="Arial" w:cs="" w:asciiTheme="minorHAnsi" w:cstheme="minorBidi" w:hAnsiTheme="minorHAnsi"/>
      <w:sz w:val="18"/>
      <w:szCs w:val="18"/>
      <w:lang w:val="en-GB" w:eastAsia="en-US"/>
    </w:rPr>
  </w:style>
  <w:style w:type="paragraph" w:styleId="Default" w:customStyle="1">
    <w:name w:val="Default"/>
    <w:qFormat/>
    <w:rsid w:val="00fe1f9b"/>
    <w:pPr>
      <w:widowControl/>
      <w:bidi w:val="0"/>
      <w:jc w:val="left"/>
    </w:pPr>
    <w:rPr>
      <w:rFonts w:ascii="Calibri" w:hAnsi="Calibri" w:eastAsia="Arial" w:cs="Calibri"/>
      <w:color w:val="000000"/>
      <w:kern w:val="0"/>
      <w:sz w:val="24"/>
      <w:szCs w:val="24"/>
      <w:lang w:val="en-GB" w:eastAsia="en-US" w:bidi="ar-SA"/>
    </w:rPr>
  </w:style>
  <w:style w:type="paragraph" w:styleId="TableBullet" w:customStyle="1">
    <w:name w:val="Table Bullet"/>
    <w:basedOn w:val="Style25"/>
    <w:link w:val="TableBulletChar"/>
    <w:qFormat/>
    <w:rsid w:val="007c5eae"/>
    <w:pPr>
      <w:spacing w:before="120" w:after="120"/>
      <w:ind w:left="318" w:hanging="284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06ea6"/>
    <w:pPr>
      <w:spacing w:beforeAutospacing="1" w:afterAutospacing="1"/>
    </w:pPr>
    <w:rPr/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Иллюстрация"/>
    <w:basedOn w:val="Caption"/>
    <w:qFormat/>
    <w:pPr/>
    <w:rPr/>
  </w:style>
  <w:style w:type="paragraph" w:styleId="Style28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BP" w:customStyle="1">
    <w:name w:val="SBP"/>
    <w:uiPriority w:val="99"/>
    <w:qFormat/>
    <w:rsid w:val="005b0a2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9876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bp-cert.org/" TargetMode="External"/><Relationship Id="rId3" Type="http://schemas.openxmlformats.org/officeDocument/2006/relationships/hyperlink" Target="http://www.sbp-cert.org/" TargetMode="External"/><Relationship Id="rId4" Type="http://schemas.openxmlformats.org/officeDocument/2006/relationships/hyperlink" Target="https://sbp-cert.org/documents/standards-documents/standards" TargetMode="External"/><Relationship Id="rId5" Type="http://schemas.openxmlformats.org/officeDocument/2006/relationships/chart" Target="charts/chart1.xml"/><Relationship Id="rId6" Type="http://schemas.openxmlformats.org/officeDocument/2006/relationships/hyperlink" Target="mailto:ooolaguna@inbox.ru" TargetMode="External"/><Relationship Id="rId7" Type="http://schemas.openxmlformats.org/officeDocument/2006/relationships/image" Target="media/image1.tif"/><Relationship Id="rId8" Type="http://schemas.openxmlformats.org/officeDocument/2006/relationships/image" Target="media/image2.tif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Arial"/>
              </a:defRPr>
            </a:pPr>
            <a:r>
              <a:rPr b="0" sz="1400" spc="-1" strike="noStrike">
                <a:solidFill>
                  <a:srgbClr val="595959"/>
                </a:solidFill>
                <a:latin typeface="Arial"/>
              </a:rPr>
              <a:t>SBP соответствующее вторичное сырье - 100%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SBP-соответствующее вторичное сырье - 100%</c:v>
                </c:pt>
              </c:strCache>
            </c:strRef>
          </c:tx>
          <c:spPr>
            <a:solidFill>
              <a:srgbClr val="d9e8e1"/>
            </a:solidFill>
            <a:ln>
              <a:noFill/>
            </a:ln>
          </c:spPr>
          <c:explosion val="0"/>
          <c:dPt>
            <c:idx val="0"/>
            <c:spPr>
              <a:solidFill>
                <a:srgbClr val="6b9c3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1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</c:chartSpace>
</file>

<file path=word/theme/theme1.xml><?xml version="1.0" encoding="utf-8"?>
<a:theme xmlns:a="http://schemas.openxmlformats.org/drawingml/2006/main" name="Office Theme">
  <a:themeElements>
    <a:clrScheme name="SBP">
      <a:dk1>
        <a:sysClr val="windowText" lastClr="000000"/>
      </a:dk1>
      <a:lt1>
        <a:srgbClr val="FFFFFF"/>
      </a:lt1>
      <a:dk2>
        <a:srgbClr val="036F3B"/>
      </a:dk2>
      <a:lt2>
        <a:srgbClr val="D9E8E1"/>
      </a:lt2>
      <a:accent1>
        <a:srgbClr val="D9E8E1"/>
      </a:accent1>
      <a:accent2>
        <a:srgbClr val="8AB059"/>
      </a:accent2>
      <a:accent3>
        <a:srgbClr val="66A889"/>
      </a:accent3>
      <a:accent4>
        <a:srgbClr val="3D946D"/>
      </a:accent4>
      <a:accent5>
        <a:srgbClr val="036F3B"/>
      </a:accent5>
      <a:accent6>
        <a:srgbClr val="6B9C30"/>
      </a:accent6>
      <a:hlink>
        <a:srgbClr val="0B6F3E"/>
      </a:hlink>
      <a:folHlink>
        <a:srgbClr val="595959"/>
      </a:folHlink>
    </a:clrScheme>
    <a:fontScheme name="SBP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1E78-0F1A-1E43-B544-A038091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Application>LibreOffice/5.4.1.2$Windows_x86 LibreOffice_project/ea7cb86e6eeb2bf3a5af73a8f7777ac570321527</Application>
  <Pages>20</Pages>
  <Words>1818</Words>
  <Characters>11754</Characters>
  <CharactersWithSpaces>13439</CharactersWithSpaces>
  <Paragraphs>234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2017-01-18T06:45:00Z</dcterms:created>
  <dc:creator>Jon Hurley</dc:creator>
  <dc:description/>
  <dc:language>ru-RU</dc:language>
  <cp:lastModifiedBy/>
  <cp:lastPrinted>2019-03-11T12:29:09Z</cp:lastPrinted>
  <dcterms:modified xsi:type="dcterms:W3CDTF">2020-03-18T16:03:35Z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