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3pt" o:ole="" filled="t">
            <v:fill color2="black"/>
            <v:imagedata r:id="rId7" o:title=""/>
          </v:shape>
          <o:OLEObject Type="Embed" ProgID="Word.Picture.8" ShapeID="_x0000_i1025" DrawAspect="Content" ObjectID="_1674893246" r:id="rId8"/>
        </w:object>
      </w:r>
    </w:p>
    <w:p w:rsidR="00F35093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D26A3" w:rsidRPr="000D26A3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0D26A3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0D26A3" w:rsidRDefault="000D26A3" w:rsidP="000D26A3">
      <w:pPr>
        <w:spacing w:after="0"/>
        <w:rPr>
          <w:sz w:val="24"/>
          <w:szCs w:val="24"/>
        </w:rPr>
      </w:pPr>
    </w:p>
    <w:p w:rsidR="000D26A3" w:rsidRPr="000D26A3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26A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D26A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993A82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30.12.2020</w:t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  <w:t xml:space="preserve">  №</w:t>
      </w:r>
      <w:r w:rsidR="006200CB">
        <w:rPr>
          <w:rFonts w:ascii="Times New Roman" w:hAnsi="Times New Roman" w:cs="Times New Roman"/>
          <w:sz w:val="24"/>
          <w:szCs w:val="24"/>
        </w:rPr>
        <w:t xml:space="preserve"> </w:t>
      </w:r>
      <w:r w:rsidR="00E221F3">
        <w:rPr>
          <w:rFonts w:ascii="Times New Roman" w:hAnsi="Times New Roman" w:cs="Times New Roman"/>
          <w:sz w:val="24"/>
          <w:szCs w:val="24"/>
        </w:rPr>
        <w:t>679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2021-2026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20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D26A3" w:rsidRPr="000D26A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D26A3" w:rsidRPr="000D26A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2021-2026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01.01.2021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E221F3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596265</wp:posOffset>
            </wp:positionV>
            <wp:extent cx="1213485" cy="817880"/>
            <wp:effectExtent l="19050" t="0" r="571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BF19A5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0D26A3" w:rsidRPr="000D26A3">
        <w:rPr>
          <w:rFonts w:ascii="Times New Roman" w:eastAsia="Times New Roman" w:hAnsi="Times New Roman" w:cs="Times New Roman"/>
        </w:rPr>
        <w:t>Г</w:t>
      </w:r>
      <w:proofErr w:type="gramEnd"/>
      <w:r w:rsidR="000D26A3" w:rsidRPr="000D26A3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ы</w:t>
      </w:r>
      <w:r w:rsidR="006200CB">
        <w:rPr>
          <w:rFonts w:ascii="Times New Roman" w:eastAsia="Times New Roman" w:hAnsi="Times New Roman" w:cs="Times New Roman"/>
        </w:rPr>
        <w:t xml:space="preserve"> </w:t>
      </w:r>
      <w:r w:rsidR="000D26A3" w:rsidRPr="000D26A3">
        <w:rPr>
          <w:rFonts w:ascii="Times New Roman" w:eastAsia="Times New Roman" w:hAnsi="Times New Roman" w:cs="Times New Roman"/>
        </w:rPr>
        <w:t>Весьегонского</w:t>
      </w:r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А.А. Тихонов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35093">
        <w:rPr>
          <w:rFonts w:ascii="Times New Roman" w:eastAsia="Times New Roman" w:hAnsi="Times New Roman" w:cs="Times New Roman"/>
          <w:sz w:val="24"/>
          <w:szCs w:val="24"/>
        </w:rPr>
        <w:t xml:space="preserve">  30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2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1F3">
        <w:rPr>
          <w:rFonts w:ascii="Times New Roman" w:eastAsia="Times New Roman" w:hAnsi="Times New Roman" w:cs="Times New Roman"/>
          <w:sz w:val="24"/>
          <w:szCs w:val="24"/>
        </w:rPr>
        <w:t>679</w:t>
      </w:r>
      <w:r w:rsidR="006200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0D26A3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0D26A3" w:rsidRPr="000D26A3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F3BB2">
        <w:rPr>
          <w:rFonts w:ascii="Times New Roman" w:eastAsia="Times New Roman" w:hAnsi="Times New Roman" w:cs="Times New Roman"/>
          <w:sz w:val="28"/>
          <w:szCs w:val="28"/>
        </w:rPr>
        <w:t>» на 2021 – 2026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2021-2026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2021 – 2026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219 463 074,00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37 813 129,00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10 701 017,00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18 413 920,00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7 048 177,00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37 489 989,00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10 533 517,00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18 291 220,00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7 015 237,00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35 989 989,00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10 033 517,00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17 291 220,00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7 015 237,00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35 989 989,00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10 033 517,00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17 291 220,00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7 015 237,00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36 089 989,00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10 133 517,00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17 291 220,00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7 015 237,00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</w:p>
          <w:p w:rsidR="000D26A3" w:rsidRPr="000D26A3" w:rsidRDefault="00EE5E57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36 089 989,00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518B6" w:rsidRPr="006518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10 133 517,00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17 291 220,00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7 015 237,00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1 650 015,00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</w:t>
      </w:r>
      <w:proofErr w:type="gramEnd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2038350"/>
            <wp:effectExtent l="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Столбищи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Кесьма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Кесемская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Тимошкино</w:t>
            </w:r>
            <w:proofErr w:type="gram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Тимошкинская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иблиотека 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ы–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БольшоеОвсяниково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Большеовсяниковская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Дюдиково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Дюдиковская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Default="001A54BD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Телятово</w:t>
            </w:r>
            <w:proofErr w:type="spellEnd"/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5F088F">
      <w:pPr>
        <w:ind w:firstLine="708"/>
        <w:jc w:val="both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</w:t>
      </w:r>
      <w:proofErr w:type="gramStart"/>
      <w:r w:rsidRPr="00082A7F">
        <w:rPr>
          <w:rFonts w:ascii="Times New Roman" w:hAnsi="Times New Roman" w:cs="Times New Roman"/>
          <w:sz w:val="24"/>
          <w:szCs w:val="24"/>
        </w:rPr>
        <w:t>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7831CF" w:rsidRPr="007831CF" w:rsidRDefault="007831CF" w:rsidP="0078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eastAsia="Times New Roman"/>
          <w:b/>
          <w:sz w:val="24"/>
          <w:szCs w:val="24"/>
          <w:u w:val="single"/>
        </w:rPr>
        <w:t>Культурно-досуговую деятельность</w:t>
      </w:r>
      <w:r w:rsidRPr="007831CF">
        <w:rPr>
          <w:rFonts w:ascii="Times New Roman" w:eastAsia="Times New Roman" w:hAnsi="Times New Roman" w:cs="Times New Roman"/>
          <w:sz w:val="24"/>
          <w:szCs w:val="24"/>
        </w:rPr>
        <w:t>осуществляет Муниципальное учреждение культуры «Весьегонский центральный дом культуры»</w:t>
      </w:r>
    </w:p>
    <w:p w:rsidR="007831CF" w:rsidRPr="007831CF" w:rsidRDefault="007831CF" w:rsidP="0078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структуре МУК «ВЦДК»  –  Весьегонский центральный дом культуры и 9 сельских филиалов: Барановский,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Дюдиковский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Ивановский,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Кесемской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Любегощинский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Пронинский,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Чамеровский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Чистодубровский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сельские дома культуры.</w:t>
      </w:r>
    </w:p>
    <w:p w:rsidR="007831CF" w:rsidRPr="007831CF" w:rsidRDefault="007831CF" w:rsidP="0078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    В 2020  году Кесемской сельский дом культуры стал победителем конкурса на лучшее сельское учреждение культурно-досугового типа.  Среди Лауреатов премии «Лучшим работникам сельских учреждений культуры» - культорганизатор Кесемского сельского дома культуры Наталья Николаевна Логинова.</w:t>
      </w:r>
    </w:p>
    <w:p w:rsidR="007831CF" w:rsidRPr="007831CF" w:rsidRDefault="007831CF" w:rsidP="00783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В числе Лауреатов премии Губернатора в сфере культуры в номинации «Лучший клубный работник» — руководитель танцевального коллектива «Адреналин» Весьегонского центрального Дома культуры Татьяна Алексеевна Быкова.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связи со сложившейся эпидемиологической ситуацией МУК «ВЦДК» и его филиалы – сельские дома культуры с апреля  перешли на новый формат проведения мероприятий, занятий клубных формирований посредством информационно-телекоммуникационной сети "Интернет". На площадке социальных сетей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>, в группах «Весьегонский центральный дом культуры», «Сельский дом культуры» размещаются мастер-классы, видео журналы, видео концерты, видео фестивали, онлайн-экскурсы, познавательные видеоролики, флэш-мобы и т.п.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рамках Года памяти и Славы все клубные учреждения стали участниками Международных и Всероссийских Акций: Бессмертный полк, Окна Победы,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Гергиевская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ленточка, Свеча памяти, Помощь Ветерану, Память Победы.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Участники художественной самодеятельности центрального дома культуры стали Дипломантами  областного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челленджа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«Песни Победы Тверь». Самодеятельный народный коллектив «Хор ветеранов войны и труда» вошёл в финал областного фестиваля-конкурса хоров ветеранов войны и труда Тверской области, посвященный 75-летию Победы в Великой Отечественной войне 1941-1945 гг. «Песня - символ нашей Победы!».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Клубные формирования самодеятельного художественного творчества и отдельные исполнители домов культуры приняли участие в более 50-ти конкурсах, смотрах и фестивалях. Их уровень подготовки отмечен Дипломами Международного, Всероссийского, регионального и  межмуниципального уровней.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2020 год организовано и проведено 1629разно жанровых культурно-массовых мероприятий для всех категорий населения, в том числе мероприятия в онлайн-формате. Число посещений – 39680, в том числе мероприятия в онлайн-формате. 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том числе, мероприятия на платной основе – 337, число посещений платных мероприятий – 13117. Сумма  заработанных средств от платных мероприятий  </w:t>
      </w:r>
      <w:r w:rsidRPr="007831CF">
        <w:rPr>
          <w:rFonts w:ascii="Times New Roman" w:eastAsia="Times New Roman" w:hAnsi="Times New Roman" w:cs="Times New Roman"/>
          <w:sz w:val="24"/>
          <w:szCs w:val="24"/>
          <w:u w:val="single"/>
        </w:rPr>
        <w:t>650403</w:t>
      </w:r>
      <w:r w:rsidRPr="007831CF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Продолжил работу модернизированный кинозал в Весьегонском доме культуры,  открытый  в декабре 2018 года за счёт субсидий Фонда кино.  В 2020 году кинозал посетили – 2425 чел., заработано – 279 910 руб.</w:t>
      </w:r>
    </w:p>
    <w:p w:rsidR="007831CF" w:rsidRPr="007831CF" w:rsidRDefault="007831CF" w:rsidP="00783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национального проекта «Культура» в Ивановском сельском доме культуры капитально отремонтирована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теплогенераторная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31CF" w:rsidRPr="007831CF" w:rsidRDefault="007831CF" w:rsidP="007831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2021 года в клубных учреждениях действует - 86  клубных формирования, которые посещают - 951  участников. В их числе: любительские объединения, клубы по интересам – 22, в них участников – 355; формирования/кружки самодеятельного народного творчества  - 58, в них участников – 519, спортивные формирования – 6, в них участников – 75.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Успешно продолжили работу самодеятельные коллективы художественного творчества, имеющих звание «народный», это – «Хор ветеранов войны и труда» Весьегонского центрального дома культуры и «Барановский народный фольклорный хор». 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информационного освещения мероприятий осуществляется на </w:t>
      </w:r>
      <w:hyperlink r:id="rId15" w:history="1">
        <w:r w:rsidRPr="007831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официальном сайте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 Весьегонского центрального дома культуры;  в блоге </w:t>
      </w:r>
      <w:hyperlink r:id="rId16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«Сцена»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; группах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«Весьегонский районный дом культуры»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hyperlink r:id="rId18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«Сельский дом культуры»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9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«Барановский народный фольклорный хор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0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«Салон Русские ремёсла»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1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 xml:space="preserve">«кинозал Весьегонский центральный дом культуры» </w:t>
        </w:r>
      </w:hyperlink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общественно-политической газеты Весьегонского района Тверской области </w:t>
      </w:r>
      <w:hyperlink r:id="rId22" w:history="1">
        <w:r w:rsidRPr="007831CF">
          <w:rPr>
            <w:rFonts w:ascii="Times New Roman" w:eastAsia="Times New Roman" w:hAnsi="Times New Roman" w:cs="Times New Roman"/>
            <w:sz w:val="24"/>
            <w:szCs w:val="24"/>
          </w:rPr>
          <w:t>«Весьегонская жизнь».</w:t>
        </w:r>
      </w:hyperlink>
    </w:p>
    <w:p w:rsidR="007831CF" w:rsidRPr="007831CF" w:rsidRDefault="007831CF" w:rsidP="0078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hAnsi="Times New Roman" w:cs="Times New Roman"/>
          <w:sz w:val="24"/>
          <w:szCs w:val="24"/>
        </w:rPr>
        <w:t xml:space="preserve">   По итогам областного конкурса информационной деятельности «</w:t>
      </w:r>
      <w:proofErr w:type="spellStart"/>
      <w:r w:rsidRPr="007831CF">
        <w:rPr>
          <w:rFonts w:ascii="Times New Roman" w:hAnsi="Times New Roman" w:cs="Times New Roman"/>
          <w:sz w:val="24"/>
          <w:szCs w:val="24"/>
        </w:rPr>
        <w:t>Информкультура</w:t>
      </w:r>
      <w:proofErr w:type="spellEnd"/>
      <w:r w:rsidRPr="007831CF">
        <w:rPr>
          <w:rFonts w:ascii="Times New Roman" w:hAnsi="Times New Roman" w:cs="Times New Roman"/>
          <w:sz w:val="24"/>
          <w:szCs w:val="24"/>
        </w:rPr>
        <w:t xml:space="preserve">» среди культурно-досуговых учреждений Тверской области, «Весьегонский центральный дом культуры» был </w:t>
      </w:r>
      <w:proofErr w:type="gramStart"/>
      <w:r w:rsidRPr="007831CF">
        <w:rPr>
          <w:rFonts w:ascii="Times New Roman" w:hAnsi="Times New Roman" w:cs="Times New Roman"/>
          <w:sz w:val="24"/>
          <w:szCs w:val="24"/>
        </w:rPr>
        <w:t>отмечена</w:t>
      </w:r>
      <w:proofErr w:type="gramEnd"/>
      <w:r w:rsidRPr="007831CF">
        <w:rPr>
          <w:rFonts w:ascii="Times New Roman" w:hAnsi="Times New Roman" w:cs="Times New Roman"/>
          <w:sz w:val="24"/>
          <w:szCs w:val="24"/>
        </w:rPr>
        <w:t xml:space="preserve"> в двух номинациях: «Электронные информационные ресурсы» и «Рекламная и PR деятельность». Специальным Дипломом областного конкурса </w:t>
      </w:r>
      <w:proofErr w:type="gramStart"/>
      <w:r w:rsidRPr="007831CF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Pr="007831CF">
        <w:rPr>
          <w:rFonts w:ascii="Times New Roman" w:hAnsi="Times New Roman" w:cs="Times New Roman"/>
          <w:sz w:val="24"/>
          <w:szCs w:val="24"/>
        </w:rPr>
        <w:t xml:space="preserve"> блог «Сцена».</w:t>
      </w:r>
    </w:p>
    <w:p w:rsidR="007831CF" w:rsidRPr="007831CF" w:rsidRDefault="007831CF" w:rsidP="00783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b/>
          <w:sz w:val="24"/>
          <w:szCs w:val="24"/>
        </w:rPr>
        <w:t>МБУ ДО «</w:t>
      </w:r>
      <w:proofErr w:type="gramStart"/>
      <w:r w:rsidRPr="007831CF">
        <w:rPr>
          <w:rFonts w:ascii="Times New Roman" w:eastAsia="Times New Roman" w:hAnsi="Times New Roman" w:cs="Times New Roman"/>
          <w:b/>
          <w:sz w:val="24"/>
          <w:szCs w:val="24"/>
        </w:rPr>
        <w:t>Весьегонская</w:t>
      </w:r>
      <w:proofErr w:type="gramEnd"/>
      <w:r w:rsidRPr="007831CF">
        <w:rPr>
          <w:rFonts w:ascii="Times New Roman" w:eastAsia="Times New Roman" w:hAnsi="Times New Roman" w:cs="Times New Roman"/>
          <w:b/>
          <w:sz w:val="24"/>
          <w:szCs w:val="24"/>
        </w:rPr>
        <w:t xml:space="preserve"> ДШИ» </w:t>
      </w:r>
      <w:r w:rsidRPr="007831CF">
        <w:rPr>
          <w:rFonts w:ascii="Times New Roman" w:eastAsia="Times New Roman" w:hAnsi="Times New Roman" w:cs="Times New Roman"/>
          <w:sz w:val="24"/>
          <w:szCs w:val="24"/>
        </w:rPr>
        <w:t>реализует дополнительные общеобразовательные  предпрофессиональные и общеразвивающие программы в области искусств (всего 6 основных программ).</w:t>
      </w:r>
    </w:p>
    <w:p w:rsidR="007831CF" w:rsidRPr="007831CF" w:rsidRDefault="007831CF" w:rsidP="00783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МБУ ДО «Весьегонская детская школа искусств» полностью укомплектована кадрами.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преподавателей – 9, из них 7 имеют высшую квалификационную категорию. Средний возраст преподавателей – 56 лет, средний педагогический стаж – 34 года. Прошли курсы повышения квалификации в 2020 году - 2. Количество учащихся -  112, из них: музыкальное отделение – 82, фольклорное отделение –  4,                    хореографическое отделение – 26. Выпуск 2020 года составил 22 человека, прием в 1 класс -  14 человек.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       Учащиеся приняли участие в 17 конкурсах международного, всероссийского, регионального, и зонального уровней 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>из них – 5 конкурсов в очном формате и 12 – по видеозаписям), получили  67 дипломов Лауреатов и дипломантов. Всего в конкурсах приняло участие сольно и в ансамблях – 75 учащихся. В течени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работали следующие творческие коллективы преподавателей и учащихся: оркестр русских народных инструментов (рук.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Фарулёва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Т.А.), оркестр баянистов-аккордеонистов (рук. Веселова Н.В.), ансамбль балалаечников    (рук.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Фарулёва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Т.А.), ансамбль домристов   (рук.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Фарулёва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Т.А.), ансамбль  скрипачей (рук. Посохина Е.В.), фольклорный ансамбль     (рук.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И.С.), хореографический ансамбль  (рук. Кондратьева С.А.), педагогический ансамбль (рук. Новожилова Е.В.).</w:t>
      </w:r>
      <w:r w:rsidRPr="007831CF">
        <w:rPr>
          <w:rFonts w:ascii="Times New Roman" w:hAnsi="Times New Roman" w:cs="Times New Roman"/>
          <w:sz w:val="24"/>
          <w:szCs w:val="24"/>
        </w:rPr>
        <w:t xml:space="preserve">В рамках договора ДШИ с общеобразовательной школой постоянно работает </w:t>
      </w:r>
      <w:r w:rsidRPr="007831CF">
        <w:rPr>
          <w:rFonts w:ascii="Times New Roman" w:hAnsi="Times New Roman" w:cs="Times New Roman"/>
          <w:sz w:val="24"/>
          <w:szCs w:val="24"/>
          <w:u w:val="single"/>
        </w:rPr>
        <w:t>«Музыкальный лекторий для школьников»</w:t>
      </w:r>
      <w:r w:rsidRPr="007831CF">
        <w:rPr>
          <w:rFonts w:ascii="Times New Roman" w:hAnsi="Times New Roman" w:cs="Times New Roman"/>
          <w:sz w:val="24"/>
          <w:szCs w:val="24"/>
        </w:rPr>
        <w:t xml:space="preserve">. В течение учебного года проводятся лекции-концерты, праздничные и тематические вечера  с </w:t>
      </w:r>
      <w:r w:rsidRPr="007831CF">
        <w:rPr>
          <w:rFonts w:ascii="Times New Roman" w:hAnsi="Times New Roman" w:cs="Times New Roman"/>
          <w:sz w:val="24"/>
          <w:szCs w:val="24"/>
        </w:rPr>
        <w:lastRenderedPageBreak/>
        <w:t xml:space="preserve">рассказами о композиторах, об истории создания отдельных музыкальных инструментов, о музыкальных жанрах. Приглашаются учащиеся разных классов школы, а также воспитанники социального приюта.              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проведено более 30 культурно-просветительных и внеклассных мероприятий, в целях эпидемиологической безопасности ряд мероприятий проводился в онлайн-формате.  </w:t>
      </w:r>
    </w:p>
    <w:p w:rsidR="007831CF" w:rsidRPr="007831CF" w:rsidRDefault="007831CF" w:rsidP="0078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  Проблемы сферы дополнительного образования: рост дефицита музыкальных инструментов (их износ составляет до 80 процентов);  необходим ремонт концертного зала в здании ДШИ; отсутствие  молодых кадров (требуется преподаватель фортепиано и домры).</w:t>
      </w:r>
    </w:p>
    <w:p w:rsidR="007831CF" w:rsidRPr="007831CF" w:rsidRDefault="007831CF" w:rsidP="007831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CF">
        <w:rPr>
          <w:rFonts w:ascii="Times New Roman" w:hAnsi="Times New Roman" w:cs="Times New Roman"/>
          <w:sz w:val="24"/>
          <w:szCs w:val="24"/>
        </w:rPr>
        <w:t>Библиотечное обслуживание в Весьегонском муни</w:t>
      </w:r>
      <w:r w:rsidR="006068D0">
        <w:rPr>
          <w:rFonts w:ascii="Times New Roman" w:hAnsi="Times New Roman" w:cs="Times New Roman"/>
          <w:sz w:val="24"/>
          <w:szCs w:val="24"/>
        </w:rPr>
        <w:t>ципальном округе осуществляют 15</w:t>
      </w:r>
      <w:r w:rsidRPr="007831CF">
        <w:rPr>
          <w:rFonts w:ascii="Times New Roman" w:hAnsi="Times New Roman" w:cs="Times New Roman"/>
          <w:sz w:val="24"/>
          <w:szCs w:val="24"/>
        </w:rPr>
        <w:t xml:space="preserve"> библиотек – 2 город</w:t>
      </w:r>
      <w:r w:rsidR="006068D0">
        <w:rPr>
          <w:rFonts w:ascii="Times New Roman" w:hAnsi="Times New Roman" w:cs="Times New Roman"/>
          <w:sz w:val="24"/>
          <w:szCs w:val="24"/>
        </w:rPr>
        <w:t>ских (центральная и детская), 13</w:t>
      </w:r>
      <w:r w:rsidRPr="007831CF">
        <w:rPr>
          <w:rFonts w:ascii="Times New Roman" w:hAnsi="Times New Roman" w:cs="Times New Roman"/>
          <w:sz w:val="24"/>
          <w:szCs w:val="24"/>
        </w:rPr>
        <w:t xml:space="preserve"> сельских филиалов (в 2020 году закрыты </w:t>
      </w:r>
      <w:proofErr w:type="spellStart"/>
      <w:r w:rsidRPr="007831CF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7831CF">
        <w:rPr>
          <w:rFonts w:ascii="Times New Roman" w:hAnsi="Times New Roman" w:cs="Times New Roman"/>
          <w:sz w:val="24"/>
          <w:szCs w:val="24"/>
        </w:rPr>
        <w:t xml:space="preserve"> и Барановская сельские библиотеки). </w:t>
      </w:r>
      <w:r w:rsidRPr="007831CF">
        <w:rPr>
          <w:rFonts w:ascii="Times New Roman" w:hAnsi="Times New Roman" w:cs="Times New Roman"/>
          <w:b w:val="0"/>
          <w:sz w:val="24"/>
          <w:szCs w:val="24"/>
        </w:rPr>
        <w:t>За 2020 год услугами библиотек воспользовались 8 055 человек.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стационарное, то есть в стенах библиотек (6544), также активно ведется работа с удаленными пользователями в пунктах выдачи и на дому, обслуживание через сеть интернет (1 511).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Посещаемость библиотек в стационарных условиях в этом году из-за длительного режима ограничений – 57801, что в два раза ниже, чем в прошлом году, вместе с тем увеличилось посещение удаленных пользователей, так посещения сайта составили 43 758, что в 4 раза превышает прошлогодний показатель. Библиотеки делали все возможное, чтобы читатели не забыли о библиотеке, ведя большую работу по наполнению и рекламе сайта. Так за этот год было написана и опубликована 1551 статья, число просмотров увеличилось в 6 раз.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Книговыдача – 172 363. Посещения массовых мероприятий составили 7493.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2020 году на средства местного бюджета приобретено книг на сумму 100 000 руб. Всего, вместе с безвозмездными поступлениями, книжный фонд пополнился на 2120 экз. книг.  Из них на средства местного бюджета приобретено 360 экз. 850 экземпляров получено благодаря работе с дарителями. Произведена подписка на периодические издания на 75 000 руб. 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За 2020 год проведено более 400 культурно-просветительских мероприятий, большинство из них проводится с использованием информационно-коммуникационных технологий. 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центральной библиотеке работает виртуальный читальный зал.  Это даёт уникальную возможность получить бесплатный доступ к электронным копиям изданий из фондов Тверской областной универсальной научной библиотеки им. А.М.Горького, Национальной электронной библиотеки, библиотеки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Медицинской государственной библиотеки. Общее число посещений составило 1755. 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Центром краеведческой работы является 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библиотека, где на протяжении 7 лет действует краеведческий клуб «Весь». Ежегодно клуб организует конкурсы краеведческих работ, принять 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в которых могут все жители округа, проводит экскурсии и походы по историческим местам. Краеведческая работа – одно из приоритетных направлений в работе всех библиотек округа. Большую работу по этому направлению ведет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Кесемская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и Больше-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Овсяниковская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Любегощская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библиотеки. 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В Год 75-летия Победы библиотеки округа работали по программе «Архив памяти», собирая и публикуя материалы о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весьегонцах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-участниках Великой Отечественной войны. Было написано более 400 статей, которые размещены на сайте библиотеки в разделе «Весьегонск. Бессмертный полк». Во всех библиотеках округа были оформлены уголки боевой славы, проводились мероприятия, посвященные Году памяти и славы. Состоялась </w:t>
      </w:r>
      <w:proofErr w:type="gramStart"/>
      <w:r w:rsidRPr="007831CF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proofErr w:type="gram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вебтрансляция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 с жителями блокадного Ленинграда.</w:t>
      </w:r>
    </w:p>
    <w:p w:rsidR="007831CF" w:rsidRPr="007831CF" w:rsidRDefault="007831CF" w:rsidP="0078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Библиотека является площадкой для проведения всероссийских диктантов, так в 2020 году в центральной библиотеке прошел Диктант Победы, Тотальный диктант в формате #</w:t>
      </w:r>
      <w:proofErr w:type="spellStart"/>
      <w:r w:rsidRPr="007831CF">
        <w:rPr>
          <w:rFonts w:ascii="Times New Roman" w:eastAsia="Times New Roman" w:hAnsi="Times New Roman" w:cs="Times New Roman"/>
          <w:sz w:val="24"/>
          <w:szCs w:val="24"/>
        </w:rPr>
        <w:t>пишемдома</w:t>
      </w:r>
      <w:proofErr w:type="spellEnd"/>
      <w:r w:rsidRPr="007831C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831CF" w:rsidRPr="007831CF" w:rsidRDefault="007831CF" w:rsidP="007831CF">
      <w:pPr>
        <w:spacing w:after="0" w:line="240" w:lineRule="auto"/>
        <w:jc w:val="both"/>
        <w:rPr>
          <w:sz w:val="24"/>
          <w:szCs w:val="24"/>
        </w:rPr>
      </w:pPr>
      <w:r w:rsidRPr="007831CF">
        <w:rPr>
          <w:rFonts w:ascii="Times New Roman" w:eastAsia="Times New Roman" w:hAnsi="Times New Roman" w:cs="Times New Roman"/>
          <w:sz w:val="24"/>
          <w:szCs w:val="24"/>
        </w:rPr>
        <w:t>Библиотеки ежегодно принимают участие в конкурсе на лучшую сельскую библиотеку. В этом году победителем стала Кесемская сельская библиотека. Благодаря этому удалось приобрести новую мебель и компьютерную технику.</w:t>
      </w:r>
    </w:p>
    <w:p w:rsidR="007831CF" w:rsidRPr="007831CF" w:rsidRDefault="007831CF" w:rsidP="007831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CF">
        <w:rPr>
          <w:sz w:val="24"/>
          <w:szCs w:val="24"/>
        </w:rPr>
        <w:t xml:space="preserve">    В 2020 году проведена независимая оценка качества оказания услуг учреждениями </w:t>
      </w:r>
      <w:r w:rsidRPr="007831CF">
        <w:rPr>
          <w:rFonts w:ascii="Times New Roman" w:eastAsia="Times New Roman" w:hAnsi="Times New Roman" w:cs="Times New Roman"/>
          <w:sz w:val="24"/>
          <w:szCs w:val="24"/>
        </w:rPr>
        <w:t>культуры, работа учреждений оценена положительно: оценка, полученная путём изучения мнения получателей услуг, МУК «ВЦДК»- 89,2 баллов, МУК ВЦБС-87,8 баллов.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>, 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703A8B">
        <w:rPr>
          <w:rFonts w:ascii="Times New Roman" w:hAnsi="Times New Roman"/>
          <w:sz w:val="24"/>
          <w:szCs w:val="24"/>
        </w:rPr>
        <w:t xml:space="preserve"> и </w:t>
      </w:r>
      <w:r w:rsidR="00EC1237">
        <w:rPr>
          <w:rFonts w:ascii="Times New Roman" w:hAnsi="Times New Roman"/>
          <w:sz w:val="24"/>
          <w:szCs w:val="24"/>
        </w:rPr>
        <w:t xml:space="preserve">Ивановского </w:t>
      </w:r>
      <w:r w:rsidR="00703A8B">
        <w:rPr>
          <w:rFonts w:ascii="Times New Roman" w:hAnsi="Times New Roman"/>
          <w:sz w:val="24"/>
          <w:szCs w:val="24"/>
        </w:rPr>
        <w:t>СДК</w:t>
      </w:r>
      <w:proofErr w:type="gramStart"/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>С</w:t>
      </w:r>
      <w:proofErr w:type="gramEnd"/>
      <w:r w:rsidR="00525A80">
        <w:rPr>
          <w:rFonts w:ascii="Times New Roman" w:hAnsi="Times New Roman"/>
          <w:sz w:val="24"/>
          <w:szCs w:val="24"/>
        </w:rPr>
        <w:t xml:space="preserve"> целью увеличения помещений для кружковой работы требуется реконструкция здания </w:t>
      </w:r>
      <w:r w:rsidR="00525A80" w:rsidRPr="001D4853">
        <w:rPr>
          <w:rFonts w:ascii="Times New Roman" w:hAnsi="Times New Roman"/>
          <w:sz w:val="24"/>
          <w:szCs w:val="24"/>
        </w:rPr>
        <w:t>районного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</w:t>
      </w:r>
      <w:proofErr w:type="gramStart"/>
      <w:r w:rsidRPr="008B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6BFD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</w:t>
      </w:r>
      <w:proofErr w:type="gramStart"/>
      <w:r w:rsidRPr="00A806AC">
        <w:rPr>
          <w:rFonts w:ascii="Times New Roman" w:eastAsia="Times New Roman" w:hAnsi="Times New Roman" w:cs="Times New Roman"/>
        </w:rPr>
        <w:t>,в</w:t>
      </w:r>
      <w:proofErr w:type="gramEnd"/>
      <w:r w:rsidRPr="00A806AC">
        <w:rPr>
          <w:rFonts w:ascii="Times New Roman" w:eastAsia="Times New Roman" w:hAnsi="Times New Roman" w:cs="Times New Roman"/>
        </w:rPr>
        <w:t xml:space="preserve">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P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за счёт местного бюджета 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A755C0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3B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88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87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87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87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Pr="00B87CF3">
        <w:rPr>
          <w:rFonts w:ascii="Times New Roman" w:hAnsi="Times New Roman" w:cs="Times New Roman"/>
          <w:bCs/>
          <w:sz w:val="24"/>
          <w:szCs w:val="24"/>
        </w:rPr>
        <w:t xml:space="preserve">ероприятие   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</w:t>
      </w:r>
      <w:proofErr w:type="gramStart"/>
      <w:r w:rsidR="005D07D9">
        <w:rPr>
          <w:rFonts w:ascii="Times New Roman" w:hAnsi="Times New Roman" w:cs="Times New Roman"/>
          <w:bCs/>
          <w:sz w:val="24"/>
          <w:szCs w:val="24"/>
        </w:rPr>
        <w:t>ы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87CF3" w:rsidRPr="00B87CF3">
        <w:rPr>
          <w:rFonts w:ascii="Times New Roman" w:hAnsi="Times New Roman" w:cs="Times New Roman"/>
          <w:bCs/>
          <w:sz w:val="24"/>
          <w:szCs w:val="24"/>
        </w:rPr>
        <w:t>в части комп</w:t>
      </w:r>
      <w:r w:rsidR="00B87CF3">
        <w:rPr>
          <w:rFonts w:ascii="Times New Roman" w:hAnsi="Times New Roman" w:cs="Times New Roman"/>
          <w:bCs/>
          <w:sz w:val="24"/>
          <w:szCs w:val="24"/>
        </w:rPr>
        <w:t>лектования книжных фондов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 xml:space="preserve"> муниципальных общедоступных библиотек   Тверской области)</w:t>
      </w:r>
      <w:r w:rsidR="008E7ED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лучшим работникам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сельских учреждений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сельским учреждениям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D97161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</w:r>
      <w:r w:rsidR="005D07D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8E7EDE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работникам муниципальных учреждений культуры Тверской области</w:t>
      </w:r>
      <w:r w:rsidR="005D07D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5415B" w:rsidRDefault="00B5415B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61 568 602,00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851"/>
        <w:gridCol w:w="1559"/>
        <w:gridCol w:w="1701"/>
        <w:gridCol w:w="1701"/>
        <w:gridCol w:w="1807"/>
      </w:tblGrid>
      <w:tr w:rsidR="00427CA5" w:rsidRPr="00370C22" w:rsidTr="00427CA5">
        <w:tc>
          <w:tcPr>
            <w:tcW w:w="951" w:type="dxa"/>
            <w:vMerge w:val="restart"/>
            <w:vAlign w:val="center"/>
          </w:tcPr>
          <w:p w:rsidR="00427CA5" w:rsidRPr="00370C22" w:rsidRDefault="00427CA5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12" w:type="dxa"/>
            <w:gridSpan w:val="4"/>
            <w:vAlign w:val="center"/>
          </w:tcPr>
          <w:p w:rsidR="00427CA5" w:rsidRPr="00370C22" w:rsidRDefault="00427CA5" w:rsidP="00606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</w:t>
            </w:r>
            <w:r w:rsidR="0060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отечного обслуживания </w:t>
            </w:r>
            <w:r w:rsidR="00606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427CA5" w:rsidRPr="00370C22" w:rsidRDefault="00427CA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427CA5" w:rsidRPr="00370C22" w:rsidRDefault="00427CA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27CA5" w:rsidRPr="00370C22" w:rsidRDefault="00427CA5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CA5" w:rsidRPr="00026BAF" w:rsidTr="00427CA5">
        <w:trPr>
          <w:trHeight w:val="3650"/>
        </w:trPr>
        <w:tc>
          <w:tcPr>
            <w:tcW w:w="951" w:type="dxa"/>
            <w:vMerge/>
            <w:vAlign w:val="center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427CA5" w:rsidRPr="00026BAF" w:rsidRDefault="00427CA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7CA5" w:rsidRPr="00026BAF" w:rsidRDefault="001146AC" w:rsidP="00230B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27CA5" w:rsidRPr="00026BAF" w:rsidRDefault="001146AC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27CA5" w:rsidRPr="00026BAF" w:rsidRDefault="00427CA5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на </w:t>
            </w:r>
            <w:r w:rsidR="00E02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отрасли «Культура»</w:t>
            </w:r>
          </w:p>
        </w:tc>
        <w:tc>
          <w:tcPr>
            <w:tcW w:w="1807" w:type="dxa"/>
          </w:tcPr>
          <w:p w:rsidR="00427CA5" w:rsidRPr="00026BAF" w:rsidRDefault="00427CA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27CA5" w:rsidRPr="00026BAF" w:rsidTr="00427CA5">
        <w:trPr>
          <w:trHeight w:val="500"/>
        </w:trPr>
        <w:tc>
          <w:tcPr>
            <w:tcW w:w="951" w:type="dxa"/>
          </w:tcPr>
          <w:p w:rsidR="00427CA5" w:rsidRPr="0048776B" w:rsidRDefault="006F3BB2" w:rsidP="00041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427CA5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</w:tcPr>
          <w:p w:rsidR="00427CA5" w:rsidRPr="009D6A41" w:rsidRDefault="000854FE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8 156 917,00</w:t>
            </w:r>
          </w:p>
        </w:tc>
        <w:tc>
          <w:tcPr>
            <w:tcW w:w="1559" w:type="dxa"/>
          </w:tcPr>
          <w:p w:rsidR="00427CA5" w:rsidRPr="00E554B3" w:rsidRDefault="001146AC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427CA5" w:rsidRPr="009D6A41" w:rsidRDefault="001146AC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427CA5" w:rsidRPr="009D6A41" w:rsidRDefault="000854FE" w:rsidP="00333D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2 444 100,00</w:t>
            </w:r>
          </w:p>
        </w:tc>
        <w:tc>
          <w:tcPr>
            <w:tcW w:w="1807" w:type="dxa"/>
          </w:tcPr>
          <w:p w:rsidR="00427CA5" w:rsidRPr="00EC1237" w:rsidRDefault="000854FE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10 701 017,00</w:t>
            </w:r>
          </w:p>
        </w:tc>
      </w:tr>
      <w:tr w:rsidR="00427CA5" w:rsidRPr="00026BAF" w:rsidTr="00427CA5">
        <w:tc>
          <w:tcPr>
            <w:tcW w:w="951" w:type="dxa"/>
          </w:tcPr>
          <w:p w:rsidR="00427CA5" w:rsidRPr="0048776B" w:rsidRDefault="006F3BB2" w:rsidP="00041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427CA5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</w:tcPr>
          <w:p w:rsidR="00427CA5" w:rsidRPr="009D6A41" w:rsidRDefault="000854FE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8 156 917,00</w:t>
            </w:r>
          </w:p>
        </w:tc>
        <w:tc>
          <w:tcPr>
            <w:tcW w:w="1559" w:type="dxa"/>
          </w:tcPr>
          <w:p w:rsidR="00427CA5" w:rsidRPr="00943E7B" w:rsidRDefault="00427CA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1" w:type="dxa"/>
          </w:tcPr>
          <w:p w:rsidR="00427CA5" w:rsidRPr="00026BAF" w:rsidRDefault="00427CA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27CA5" w:rsidRDefault="000854FE"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2 376 600,00</w:t>
            </w:r>
          </w:p>
        </w:tc>
        <w:tc>
          <w:tcPr>
            <w:tcW w:w="1807" w:type="dxa"/>
          </w:tcPr>
          <w:p w:rsidR="00427CA5" w:rsidRPr="00EC1237" w:rsidRDefault="000854FE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10 533 517,00</w:t>
            </w:r>
          </w:p>
        </w:tc>
      </w:tr>
      <w:tr w:rsidR="000854FE" w:rsidRPr="00026BAF" w:rsidTr="00427CA5">
        <w:tc>
          <w:tcPr>
            <w:tcW w:w="951" w:type="dxa"/>
          </w:tcPr>
          <w:p w:rsidR="000854FE" w:rsidRPr="0048776B" w:rsidRDefault="000854FE" w:rsidP="00041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</w:tcPr>
          <w:p w:rsidR="000854FE" w:rsidRPr="00943E7B" w:rsidRDefault="0008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559" w:type="dxa"/>
          </w:tcPr>
          <w:p w:rsidR="000854FE" w:rsidRPr="00943E7B" w:rsidRDefault="000854FE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1" w:type="dxa"/>
          </w:tcPr>
          <w:p w:rsidR="000854FE" w:rsidRPr="00026BAF" w:rsidRDefault="000854FE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854FE" w:rsidRDefault="000854FE"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2 376 600,00</w:t>
            </w:r>
          </w:p>
        </w:tc>
        <w:tc>
          <w:tcPr>
            <w:tcW w:w="1807" w:type="dxa"/>
          </w:tcPr>
          <w:p w:rsidR="000854FE" w:rsidRPr="009D6A41" w:rsidRDefault="000854FE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10 033 517,00</w:t>
            </w:r>
          </w:p>
        </w:tc>
      </w:tr>
      <w:tr w:rsidR="000854FE" w:rsidRPr="00026BAF" w:rsidTr="00427CA5">
        <w:trPr>
          <w:trHeight w:val="525"/>
        </w:trPr>
        <w:tc>
          <w:tcPr>
            <w:tcW w:w="951" w:type="dxa"/>
          </w:tcPr>
          <w:p w:rsidR="000854FE" w:rsidRPr="0048776B" w:rsidRDefault="000854FE" w:rsidP="00041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</w:tcPr>
          <w:p w:rsidR="000854FE" w:rsidRPr="0013595D" w:rsidRDefault="000854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559" w:type="dxa"/>
          </w:tcPr>
          <w:p w:rsidR="000854FE" w:rsidRPr="00943E7B" w:rsidRDefault="000854FE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1" w:type="dxa"/>
          </w:tcPr>
          <w:p w:rsidR="000854FE" w:rsidRPr="009D6A41" w:rsidRDefault="000854FE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0854FE" w:rsidRDefault="000854FE"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2 376 600,00</w:t>
            </w:r>
          </w:p>
        </w:tc>
        <w:tc>
          <w:tcPr>
            <w:tcW w:w="1807" w:type="dxa"/>
          </w:tcPr>
          <w:p w:rsidR="000854FE" w:rsidRDefault="000854FE"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10 033 517,00</w:t>
            </w:r>
          </w:p>
        </w:tc>
      </w:tr>
      <w:tr w:rsidR="001146AC" w:rsidRPr="00026BAF" w:rsidTr="00427CA5">
        <w:trPr>
          <w:trHeight w:val="525"/>
        </w:trPr>
        <w:tc>
          <w:tcPr>
            <w:tcW w:w="951" w:type="dxa"/>
          </w:tcPr>
          <w:p w:rsidR="001146AC" w:rsidRPr="0048776B" w:rsidRDefault="001146AC" w:rsidP="00041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</w:tcPr>
          <w:p w:rsidR="001146AC" w:rsidRPr="0013595D" w:rsidRDefault="001146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559" w:type="dxa"/>
          </w:tcPr>
          <w:p w:rsidR="001146AC" w:rsidRPr="00943E7B" w:rsidRDefault="001146AC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1" w:type="dxa"/>
          </w:tcPr>
          <w:p w:rsidR="001146AC" w:rsidRPr="00943E7B" w:rsidRDefault="001146AC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146AC" w:rsidRDefault="001146AC"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2 376 600,00</w:t>
            </w:r>
          </w:p>
        </w:tc>
        <w:tc>
          <w:tcPr>
            <w:tcW w:w="1807" w:type="dxa"/>
          </w:tcPr>
          <w:p w:rsidR="001146AC" w:rsidRDefault="001146AC"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10 033 517,00</w:t>
            </w:r>
          </w:p>
        </w:tc>
      </w:tr>
      <w:tr w:rsidR="001146AC" w:rsidRPr="00026BAF" w:rsidTr="00427CA5">
        <w:trPr>
          <w:trHeight w:val="341"/>
        </w:trPr>
        <w:tc>
          <w:tcPr>
            <w:tcW w:w="951" w:type="dxa"/>
          </w:tcPr>
          <w:p w:rsidR="001146AC" w:rsidRPr="0048776B" w:rsidRDefault="001146AC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851" w:type="dxa"/>
          </w:tcPr>
          <w:p w:rsidR="001146AC" w:rsidRPr="0013595D" w:rsidRDefault="001146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7 656 917,00</w:t>
            </w:r>
          </w:p>
        </w:tc>
        <w:tc>
          <w:tcPr>
            <w:tcW w:w="1559" w:type="dxa"/>
          </w:tcPr>
          <w:p w:rsidR="001146AC" w:rsidRPr="00943E7B" w:rsidRDefault="001146AC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701" w:type="dxa"/>
          </w:tcPr>
          <w:p w:rsidR="001146AC" w:rsidRPr="00943E7B" w:rsidRDefault="001146AC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146AC" w:rsidRDefault="001146AC"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2 376 600,00</w:t>
            </w:r>
          </w:p>
        </w:tc>
        <w:tc>
          <w:tcPr>
            <w:tcW w:w="1807" w:type="dxa"/>
          </w:tcPr>
          <w:p w:rsidR="001146AC" w:rsidRDefault="001146AC"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10 033 517,00</w:t>
            </w:r>
          </w:p>
        </w:tc>
      </w:tr>
      <w:tr w:rsidR="001146AC" w:rsidRPr="00026BAF" w:rsidTr="00427CA5">
        <w:trPr>
          <w:trHeight w:val="525"/>
        </w:trPr>
        <w:tc>
          <w:tcPr>
            <w:tcW w:w="951" w:type="dxa"/>
          </w:tcPr>
          <w:p w:rsidR="001146AC" w:rsidRPr="00026BAF" w:rsidRDefault="001146AC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51" w:type="dxa"/>
          </w:tcPr>
          <w:p w:rsidR="001146AC" w:rsidRPr="009D6A41" w:rsidRDefault="001146AC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46 941 502,00</w:t>
            </w:r>
          </w:p>
        </w:tc>
        <w:tc>
          <w:tcPr>
            <w:tcW w:w="1559" w:type="dxa"/>
          </w:tcPr>
          <w:p w:rsidR="001146AC" w:rsidRPr="00E554B3" w:rsidRDefault="001146AC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1146AC" w:rsidRPr="00E554B3" w:rsidRDefault="001146AC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1146AC" w:rsidRPr="00026BAF" w:rsidRDefault="001146AC" w:rsidP="00427CA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14 327 100,00</w:t>
            </w:r>
          </w:p>
        </w:tc>
        <w:tc>
          <w:tcPr>
            <w:tcW w:w="1807" w:type="dxa"/>
          </w:tcPr>
          <w:p w:rsidR="001146AC" w:rsidRPr="009D6A41" w:rsidRDefault="001146AC" w:rsidP="005D07D9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61 568 602,00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lastRenderedPageBreak/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 тыс</w:t>
      </w:r>
      <w:proofErr w:type="gramStart"/>
      <w:r w:rsidRPr="00CE19B3">
        <w:rPr>
          <w:rFonts w:ascii="Times New Roman" w:eastAsia="Times New Roman" w:hAnsi="Times New Roman" w:cs="Times New Roman"/>
        </w:rPr>
        <w:t>.ч</w:t>
      </w:r>
      <w:proofErr w:type="gramEnd"/>
      <w:r w:rsidRPr="00CE19B3">
        <w:rPr>
          <w:rFonts w:ascii="Times New Roman" w:eastAsia="Times New Roman" w:hAnsi="Times New Roman" w:cs="Times New Roman"/>
        </w:rPr>
        <w:t>еловек.</w:t>
      </w:r>
    </w:p>
    <w:p w:rsidR="00427CA5" w:rsidRPr="002F4B03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  <w:bookmarkStart w:id="0" w:name="_GoBack"/>
      <w:bookmarkEnd w:id="0"/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B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B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A60F6F" w:rsidRPr="00A60F6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 на капитальный ремонт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ероприятие «Субсидии на поддержку отрасли культуры (в части оказания государственной поддержки лучшим работникам </w:t>
      </w:r>
      <w:r w:rsidR="001C3538">
        <w:rPr>
          <w:rFonts w:ascii="Times New Roman" w:eastAsia="Times New Roman" w:hAnsi="Times New Roman" w:cs="Times New Roman"/>
          <w:bCs/>
          <w:sz w:val="24"/>
          <w:szCs w:val="24"/>
        </w:rPr>
        <w:t>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)»</w:t>
      </w:r>
    </w:p>
    <w:p w:rsidR="00FB2FD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мероприятие «Субсидии </w:t>
      </w:r>
      <w:r w:rsidR="00815B68">
        <w:rPr>
          <w:rFonts w:ascii="Times New Roman" w:eastAsia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</w:t>
      </w:r>
      <w:r w:rsidR="001C3538">
        <w:rPr>
          <w:rFonts w:ascii="Times New Roman" w:eastAsia="Times New Roman" w:hAnsi="Times New Roman" w:cs="Times New Roman"/>
          <w:bCs/>
          <w:sz w:val="24"/>
          <w:szCs w:val="24"/>
        </w:rPr>
        <w:t>лучшимсельским учреждениям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)»</w:t>
      </w:r>
    </w:p>
    <w:p w:rsid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в) мероприятие «Субсидии</w:t>
      </w:r>
      <w:r w:rsidRPr="00FB2FD5">
        <w:rPr>
          <w:rFonts w:ascii="Times New Roman" w:eastAsia="Times New Roman" w:hAnsi="Times New Roman" w:cs="Times New Roman"/>
        </w:rPr>
        <w:t xml:space="preserve"> на повышение заработной платы работникам муниципальных учреждений культуры Тверской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C3538" w:rsidRPr="001C353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83BBC" w:rsidRPr="00F414AC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538">
        <w:rPr>
          <w:rFonts w:ascii="Times New Roman" w:eastAsia="Times New Roman" w:hAnsi="Times New Roman" w:cs="Times New Roman"/>
          <w:bCs/>
          <w:sz w:val="24"/>
          <w:szCs w:val="24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B4B15" w:rsidRPr="00FB4B15">
        <w:rPr>
          <w:rFonts w:ascii="Times New Roman" w:eastAsia="Times New Roman" w:hAnsi="Times New Roman" w:cs="Times New Roman"/>
          <w:color w:val="000000"/>
          <w:sz w:val="24"/>
          <w:szCs w:val="24"/>
        </w:rPr>
        <w:t>105 870 020,00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6F3BB2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FB4B15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13 759 320,00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785CB1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4 654 600,00</w:t>
            </w:r>
          </w:p>
        </w:tc>
        <w:tc>
          <w:tcPr>
            <w:tcW w:w="1914" w:type="dxa"/>
          </w:tcPr>
          <w:p w:rsidR="001C3538" w:rsidRPr="00815B68" w:rsidRDefault="00FB4B15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18 413 920,00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6F3BB2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FB4B15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13 759 320,00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785CB1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1C3538" w:rsidRPr="00815B68" w:rsidRDefault="00FB4B15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18 291 220,00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Pr="00383BBC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785CB1" w:rsidP="00785CB1">
            <w:pPr>
              <w:jc w:val="center"/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785CB1" w:rsidRDefault="00785CB1" w:rsidP="001C3538">
            <w:pPr>
              <w:ind w:left="-107" w:right="-108"/>
              <w:jc w:val="center"/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17 291 220,00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785CB1" w:rsidP="00785CB1">
            <w:pPr>
              <w:jc w:val="center"/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785CB1" w:rsidP="00785CB1">
            <w:pPr>
              <w:jc w:val="center"/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785CB1" w:rsidRDefault="00785CB1"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17 291 220,00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785CB1" w:rsidP="00785CB1">
            <w:pPr>
              <w:jc w:val="center"/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785CB1" w:rsidP="00785CB1">
            <w:pPr>
              <w:jc w:val="center"/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785CB1" w:rsidRDefault="00785CB1"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17 291 220,00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009" w:type="dxa"/>
          </w:tcPr>
          <w:p w:rsidR="00785CB1" w:rsidRDefault="00785CB1" w:rsidP="00785CB1">
            <w:pPr>
              <w:jc w:val="center"/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12 759 320,00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785CB1" w:rsidP="00785CB1">
            <w:pPr>
              <w:jc w:val="center"/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4 531 900,00</w:t>
            </w:r>
          </w:p>
        </w:tc>
        <w:tc>
          <w:tcPr>
            <w:tcW w:w="1914" w:type="dxa"/>
          </w:tcPr>
          <w:p w:rsidR="00785CB1" w:rsidRDefault="00785CB1"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17 291 220,00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785CB1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78 555 920,00</w:t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27 314 100,00</w:t>
            </w:r>
          </w:p>
        </w:tc>
        <w:tc>
          <w:tcPr>
            <w:tcW w:w="1914" w:type="dxa"/>
          </w:tcPr>
          <w:p w:rsidR="001C3538" w:rsidRPr="00815B68" w:rsidRDefault="00FB4B15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105 870 020,00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значения достигнутой средней заработной платы педагогов дополнительного образования с </w:t>
      </w:r>
      <w:proofErr w:type="gramStart"/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доведенным</w:t>
      </w:r>
      <w:proofErr w:type="gramEnd"/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муниципального образования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7D5D8C" w:rsidRPr="007D5D8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значения достигнутой средней заработной платы педагогов дополнительного образования с </w:t>
      </w:r>
      <w:proofErr w:type="gramStart"/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доведенным</w:t>
      </w:r>
      <w:proofErr w:type="gramEnd"/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муниципального образования.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proofErr w:type="gramStart"/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>Софинансирование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044">
        <w:rPr>
          <w:rFonts w:ascii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proofErr w:type="gramStart"/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177397"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proofErr w:type="gramStart"/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2F4B03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 w:rsidR="00DC604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42 124 362,00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694"/>
        <w:gridCol w:w="1708"/>
        <w:gridCol w:w="1701"/>
        <w:gridCol w:w="1559"/>
        <w:gridCol w:w="1560"/>
      </w:tblGrid>
      <w:tr w:rsidR="00DC6044" w:rsidRPr="00370C22" w:rsidTr="00215BE7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215BE7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FF2A3F" w:rsidRDefault="00B06B4F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06B4F" w:rsidRPr="00EE2ABC" w:rsidRDefault="00B06B4F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32 940,00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  <w:vAlign w:val="center"/>
          </w:tcPr>
          <w:p w:rsidR="00B06B4F" w:rsidRPr="00EE2ABC" w:rsidRDefault="00B06B4F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7 048 177,00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B06B4F" w:rsidRPr="00EE2ABC" w:rsidRDefault="00B06B4F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B06B4F" w:rsidRPr="00215BE7" w:rsidRDefault="00B06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B06B4F" w:rsidRPr="00215BE7" w:rsidRDefault="00B06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B06B4F" w:rsidRPr="00215BE7" w:rsidRDefault="00B06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694" w:type="dxa"/>
          </w:tcPr>
          <w:p w:rsidR="00B06B4F" w:rsidRPr="00215BE7" w:rsidRDefault="00B06B4F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5 834 127,00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1 181 110,00</w:t>
            </w:r>
          </w:p>
        </w:tc>
        <w:tc>
          <w:tcPr>
            <w:tcW w:w="1560" w:type="dxa"/>
          </w:tcPr>
          <w:p w:rsidR="00B06B4F" w:rsidRPr="00215BE7" w:rsidRDefault="00B06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hAnsi="Times New Roman" w:cs="Times New Roman"/>
                <w:bCs/>
                <w:sz w:val="24"/>
                <w:szCs w:val="24"/>
              </w:rPr>
              <w:t>7 015 237,00</w:t>
            </w:r>
          </w:p>
        </w:tc>
      </w:tr>
      <w:tr w:rsidR="006150F4" w:rsidRPr="00EE2ABC" w:rsidTr="00215BE7"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215BE7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35 004 762,00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Pr="00EE2ABC" w:rsidRDefault="00215BE7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559" w:type="dxa"/>
          </w:tcPr>
          <w:p w:rsidR="006150F4" w:rsidRPr="00383BBC" w:rsidRDefault="006150F4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08666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6150F4" w:rsidRPr="00EE2ABC" w:rsidRDefault="00215BE7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D8C">
              <w:rPr>
                <w:rFonts w:ascii="Times New Roman" w:eastAsia="Times New Roman" w:hAnsi="Times New Roman" w:cs="Times New Roman"/>
                <w:color w:val="000000"/>
              </w:rPr>
              <w:t>42 124 362,00</w:t>
            </w:r>
          </w:p>
        </w:tc>
      </w:tr>
    </w:tbl>
    <w:p w:rsidR="00B06B4F" w:rsidRDefault="00B06B4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FD" w:rsidRPr="002F4B03" w:rsidRDefault="007831C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вопросам, относящимся к сфере ведения отдела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 Совета по культуре при отделе культуры администрации Весьегонского района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Программы, проведенных на территории сельских</w:t>
      </w:r>
      <w:r>
        <w:rPr>
          <w:rFonts w:ascii="Times New Roman" w:eastAsia="Times New Roman" w:hAnsi="Times New Roman" w:cs="Times New Roman"/>
        </w:rPr>
        <w:t xml:space="preserve"> поселений Весьегонского района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lastRenderedPageBreak/>
        <w:t>Увеличение количества посещений официального сайта Весьегонскогомуниципального округа в информационно-телекоммуникационной сети Интерне</w:t>
      </w: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87325C">
        <w:rPr>
          <w:rFonts w:ascii="Times New Roman" w:hAnsi="Times New Roman" w:cs="Times New Roman"/>
          <w:sz w:val="24"/>
          <w:szCs w:val="24"/>
        </w:rPr>
        <w:t>отдела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8 219 128,00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041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60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  <w:tc>
          <w:tcPr>
            <w:tcW w:w="1631" w:type="dxa"/>
          </w:tcPr>
          <w:p w:rsidR="00B06B4F" w:rsidRPr="00B06B4F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1 650 015,00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9 900 090,00</w:t>
            </w:r>
          </w:p>
        </w:tc>
        <w:tc>
          <w:tcPr>
            <w:tcW w:w="1631" w:type="dxa"/>
            <w:vAlign w:val="center"/>
          </w:tcPr>
          <w:p w:rsidR="00B06B4F" w:rsidRPr="00DA265A" w:rsidRDefault="00B06B4F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9 900 090,00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2021-2026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proofErr w:type="gramStart"/>
      <w:r w:rsidR="0087325C" w:rsidRPr="0055225D">
        <w:rPr>
          <w:rFonts w:eastAsiaTheme="minorEastAsia"/>
        </w:rPr>
        <w:t>находящимися</w:t>
      </w:r>
      <w:proofErr w:type="gramEnd"/>
      <w:r w:rsidR="0087325C" w:rsidRPr="0055225D">
        <w:rPr>
          <w:rFonts w:eastAsiaTheme="minorEastAsia"/>
        </w:rPr>
        <w:t xml:space="preserve">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1"/>
  </w:num>
  <w:num w:numId="5">
    <w:abstractNumId w:val="9"/>
  </w:num>
  <w:num w:numId="6">
    <w:abstractNumId w:val="8"/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3"/>
  </w:num>
  <w:num w:numId="17">
    <w:abstractNumId w:val="12"/>
  </w:num>
  <w:num w:numId="18">
    <w:abstractNumId w:val="19"/>
  </w:num>
  <w:num w:numId="19">
    <w:abstractNumId w:val="15"/>
  </w:num>
  <w:num w:numId="20">
    <w:abstractNumId w:val="24"/>
  </w:num>
  <w:num w:numId="21">
    <w:abstractNumId w:val="3"/>
  </w:num>
  <w:num w:numId="22">
    <w:abstractNumId w:val="4"/>
  </w:num>
  <w:num w:numId="23">
    <w:abstractNumId w:val="6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13236"/>
    <w:rsid w:val="00024751"/>
    <w:rsid w:val="00026BAF"/>
    <w:rsid w:val="00030340"/>
    <w:rsid w:val="00041719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19CD"/>
    <w:rsid w:val="00093435"/>
    <w:rsid w:val="000B0139"/>
    <w:rsid w:val="000B0BC0"/>
    <w:rsid w:val="000B23FD"/>
    <w:rsid w:val="000B34C4"/>
    <w:rsid w:val="000B7486"/>
    <w:rsid w:val="000C01BA"/>
    <w:rsid w:val="000D06A7"/>
    <w:rsid w:val="000D0E08"/>
    <w:rsid w:val="000D26A3"/>
    <w:rsid w:val="000D5305"/>
    <w:rsid w:val="000D6532"/>
    <w:rsid w:val="000E24BE"/>
    <w:rsid w:val="000E7C65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95D"/>
    <w:rsid w:val="00137FC2"/>
    <w:rsid w:val="00146627"/>
    <w:rsid w:val="00150950"/>
    <w:rsid w:val="00150B8E"/>
    <w:rsid w:val="001568AA"/>
    <w:rsid w:val="00161AE7"/>
    <w:rsid w:val="00162608"/>
    <w:rsid w:val="0016440B"/>
    <w:rsid w:val="00165AA8"/>
    <w:rsid w:val="001711E2"/>
    <w:rsid w:val="00177397"/>
    <w:rsid w:val="001858C9"/>
    <w:rsid w:val="001875D5"/>
    <w:rsid w:val="00196A67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75FF"/>
    <w:rsid w:val="002620F0"/>
    <w:rsid w:val="00264D00"/>
    <w:rsid w:val="00275F94"/>
    <w:rsid w:val="00276B0A"/>
    <w:rsid w:val="00280CC1"/>
    <w:rsid w:val="00284DF0"/>
    <w:rsid w:val="00292F51"/>
    <w:rsid w:val="00293548"/>
    <w:rsid w:val="0029390C"/>
    <w:rsid w:val="00294DEF"/>
    <w:rsid w:val="002A0DCB"/>
    <w:rsid w:val="002A3028"/>
    <w:rsid w:val="002A363A"/>
    <w:rsid w:val="002C707F"/>
    <w:rsid w:val="002D21B8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6425"/>
    <w:rsid w:val="00397225"/>
    <w:rsid w:val="003A6694"/>
    <w:rsid w:val="003B359F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63E9"/>
    <w:rsid w:val="004B3633"/>
    <w:rsid w:val="004D4D1B"/>
    <w:rsid w:val="004D7D58"/>
    <w:rsid w:val="004F53C3"/>
    <w:rsid w:val="004F75E7"/>
    <w:rsid w:val="00503E74"/>
    <w:rsid w:val="0050641D"/>
    <w:rsid w:val="00506921"/>
    <w:rsid w:val="0051141C"/>
    <w:rsid w:val="00517C50"/>
    <w:rsid w:val="00525A80"/>
    <w:rsid w:val="00526732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71887"/>
    <w:rsid w:val="00681B73"/>
    <w:rsid w:val="00685ABD"/>
    <w:rsid w:val="006A31D9"/>
    <w:rsid w:val="006A3CAD"/>
    <w:rsid w:val="006B15C9"/>
    <w:rsid w:val="006B6B90"/>
    <w:rsid w:val="006D1E5D"/>
    <w:rsid w:val="006F277E"/>
    <w:rsid w:val="006F3BB2"/>
    <w:rsid w:val="00703A8B"/>
    <w:rsid w:val="00704B1D"/>
    <w:rsid w:val="0073302D"/>
    <w:rsid w:val="00740203"/>
    <w:rsid w:val="0074195C"/>
    <w:rsid w:val="00747F52"/>
    <w:rsid w:val="00755BB8"/>
    <w:rsid w:val="0075758D"/>
    <w:rsid w:val="00763191"/>
    <w:rsid w:val="00772615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52F2"/>
    <w:rsid w:val="007D069D"/>
    <w:rsid w:val="007D5D8C"/>
    <w:rsid w:val="007E76D3"/>
    <w:rsid w:val="007F4AFB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1201"/>
    <w:rsid w:val="008444C7"/>
    <w:rsid w:val="00846233"/>
    <w:rsid w:val="00847166"/>
    <w:rsid w:val="00851F5E"/>
    <w:rsid w:val="00855A7C"/>
    <w:rsid w:val="0087325C"/>
    <w:rsid w:val="008877C5"/>
    <w:rsid w:val="008A5DC3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93A82"/>
    <w:rsid w:val="009A1B4A"/>
    <w:rsid w:val="009A2ED3"/>
    <w:rsid w:val="009A56C3"/>
    <w:rsid w:val="009A66FB"/>
    <w:rsid w:val="009B78A4"/>
    <w:rsid w:val="009C5BC4"/>
    <w:rsid w:val="009D1846"/>
    <w:rsid w:val="009D221F"/>
    <w:rsid w:val="009D6A41"/>
    <w:rsid w:val="009E4151"/>
    <w:rsid w:val="009E779C"/>
    <w:rsid w:val="009E7D72"/>
    <w:rsid w:val="009F6B03"/>
    <w:rsid w:val="00A01A06"/>
    <w:rsid w:val="00A01ACA"/>
    <w:rsid w:val="00A27AB6"/>
    <w:rsid w:val="00A32B10"/>
    <w:rsid w:val="00A3552B"/>
    <w:rsid w:val="00A35668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6B4F"/>
    <w:rsid w:val="00B079F9"/>
    <w:rsid w:val="00B16EFB"/>
    <w:rsid w:val="00B20A73"/>
    <w:rsid w:val="00B32BEE"/>
    <w:rsid w:val="00B4227A"/>
    <w:rsid w:val="00B5298C"/>
    <w:rsid w:val="00B5415B"/>
    <w:rsid w:val="00B6032F"/>
    <w:rsid w:val="00B65A18"/>
    <w:rsid w:val="00B7033A"/>
    <w:rsid w:val="00B70914"/>
    <w:rsid w:val="00B7272E"/>
    <w:rsid w:val="00B75679"/>
    <w:rsid w:val="00B87CF3"/>
    <w:rsid w:val="00B90ED6"/>
    <w:rsid w:val="00B9160F"/>
    <w:rsid w:val="00B94752"/>
    <w:rsid w:val="00B961CF"/>
    <w:rsid w:val="00BC02E7"/>
    <w:rsid w:val="00BC0C5B"/>
    <w:rsid w:val="00BC2890"/>
    <w:rsid w:val="00BD523E"/>
    <w:rsid w:val="00BE6945"/>
    <w:rsid w:val="00BE7FDC"/>
    <w:rsid w:val="00BF0688"/>
    <w:rsid w:val="00BF19A5"/>
    <w:rsid w:val="00BF62D2"/>
    <w:rsid w:val="00C108A2"/>
    <w:rsid w:val="00C15036"/>
    <w:rsid w:val="00C1722E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46"/>
    <w:rsid w:val="00C75E5D"/>
    <w:rsid w:val="00C77746"/>
    <w:rsid w:val="00C8404A"/>
    <w:rsid w:val="00C8702F"/>
    <w:rsid w:val="00C94CE8"/>
    <w:rsid w:val="00C969E8"/>
    <w:rsid w:val="00CA3018"/>
    <w:rsid w:val="00CD444C"/>
    <w:rsid w:val="00CE19B3"/>
    <w:rsid w:val="00D072E3"/>
    <w:rsid w:val="00D1122C"/>
    <w:rsid w:val="00D1248D"/>
    <w:rsid w:val="00D1270E"/>
    <w:rsid w:val="00D14729"/>
    <w:rsid w:val="00D15582"/>
    <w:rsid w:val="00D24ED5"/>
    <w:rsid w:val="00D35F21"/>
    <w:rsid w:val="00D549FA"/>
    <w:rsid w:val="00D55EBC"/>
    <w:rsid w:val="00D8135F"/>
    <w:rsid w:val="00D8166B"/>
    <w:rsid w:val="00D82457"/>
    <w:rsid w:val="00D85318"/>
    <w:rsid w:val="00D87C59"/>
    <w:rsid w:val="00D97161"/>
    <w:rsid w:val="00DA03BE"/>
    <w:rsid w:val="00DA265A"/>
    <w:rsid w:val="00DA5231"/>
    <w:rsid w:val="00DA7412"/>
    <w:rsid w:val="00DA757F"/>
    <w:rsid w:val="00DB20D7"/>
    <w:rsid w:val="00DC489C"/>
    <w:rsid w:val="00DC6044"/>
    <w:rsid w:val="00DC73AD"/>
    <w:rsid w:val="00DE2EA2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41F47"/>
    <w:rsid w:val="00E445B5"/>
    <w:rsid w:val="00E44BE9"/>
    <w:rsid w:val="00E53E59"/>
    <w:rsid w:val="00E554B3"/>
    <w:rsid w:val="00E60967"/>
    <w:rsid w:val="00E63A1C"/>
    <w:rsid w:val="00E73F24"/>
    <w:rsid w:val="00E85929"/>
    <w:rsid w:val="00E91E50"/>
    <w:rsid w:val="00E97263"/>
    <w:rsid w:val="00EA01FA"/>
    <w:rsid w:val="00EA53C1"/>
    <w:rsid w:val="00EB537F"/>
    <w:rsid w:val="00EC1237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35093"/>
    <w:rsid w:val="00F414AC"/>
    <w:rsid w:val="00F4398D"/>
    <w:rsid w:val="00F46322"/>
    <w:rsid w:val="00F50DA1"/>
    <w:rsid w:val="00F57332"/>
    <w:rsid w:val="00F579EE"/>
    <w:rsid w:val="00F81F9F"/>
    <w:rsid w:val="00F91952"/>
    <w:rsid w:val="00FB2FD5"/>
    <w:rsid w:val="00FB4B15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diagramColors" Target="diagrams/colors1.xml"/><Relationship Id="rId18" Type="http://schemas.openxmlformats.org/officeDocument/2006/relationships/hyperlink" Target="https://vk.com/club398965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75452592" TargetMode="Externa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vk.com/club360124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metodotdel.blogspot.com/" TargetMode="External"/><Relationship Id="rId20" Type="http://schemas.openxmlformats.org/officeDocument/2006/relationships/hyperlink" Target="https://vk.com/public2011731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cdk.tver.muzkult.ru/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s://vk.com/club518746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yperlink" Target="http://vesyegonskaya-gisn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9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15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115689EF-B1C3-4665-A92E-1768017B0526}" type="presOf" srcId="{95318732-D543-44F7-83D9-2BFB69D0E988}" destId="{B5F1C179-0B91-440B-B053-BE071DAA416C}" srcOrd="0" destOrd="0" presId="urn:microsoft.com/office/officeart/2005/8/layout/orgChart1"/>
    <dgm:cxn modelId="{44C445C9-6FAB-4570-874F-57B3DFA677D2}" type="presOf" srcId="{CA233F8E-C68E-40C2-B0A3-C486CDB9FCB3}" destId="{9D8CBAD1-5A95-49DD-BC29-10E7FE271EE2}" srcOrd="1" destOrd="0" presId="urn:microsoft.com/office/officeart/2005/8/layout/orgChart1"/>
    <dgm:cxn modelId="{3158F740-E071-4C46-957E-1BB21A0697B0}" type="presOf" srcId="{FCDC3F5D-BB73-4230-985B-54D1625EE3F4}" destId="{565EAEF3-8476-4ECA-A33A-9D68214C3BD1}" srcOrd="0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4FFBEC98-6B87-4E81-A372-893B85BCBBAC}" type="presOf" srcId="{96868DBB-2298-41C7-9A27-B523EA4E8F61}" destId="{E7787C3F-A6DE-464B-8BEA-51745D4769F8}" srcOrd="0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B339E4D9-8621-4560-8660-7DCD0767D08E}" type="presOf" srcId="{95318732-D543-44F7-83D9-2BFB69D0E988}" destId="{526E7F67-47E8-419F-A3BC-D98C3B9C72E8}" srcOrd="1" destOrd="0" presId="urn:microsoft.com/office/officeart/2005/8/layout/orgChart1"/>
    <dgm:cxn modelId="{3334F599-990A-40B0-8102-B70ED1ECE549}" type="presOf" srcId="{96868DBB-2298-41C7-9A27-B523EA4E8F61}" destId="{8B5A7257-209F-4439-92ED-0B5C68DA2A82}" srcOrd="1" destOrd="0" presId="urn:microsoft.com/office/officeart/2005/8/layout/orgChart1"/>
    <dgm:cxn modelId="{C33A5C1D-F77F-4A43-B12B-220E851EB119}" type="presOf" srcId="{D65F4224-3B05-42F1-8B57-7D4984407889}" destId="{8109FA22-C213-488E-B594-B06F32E5BA6B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A4154BCA-8047-497B-8589-619D899CA29E}" type="presOf" srcId="{E6D4DC1B-6D6D-4254-945E-C188B6E72121}" destId="{8144CD91-0BF1-459B-9FD1-EE1E10E58876}" srcOrd="0" destOrd="0" presId="urn:microsoft.com/office/officeart/2005/8/layout/orgChart1"/>
    <dgm:cxn modelId="{788D8A0E-72A1-42BF-B180-A9CDF7CA04A9}" type="presOf" srcId="{FCDC3F5D-BB73-4230-985B-54D1625EE3F4}" destId="{977861E1-C5DF-4F95-8935-3145DDA61A02}" srcOrd="1" destOrd="0" presId="urn:microsoft.com/office/officeart/2005/8/layout/orgChart1"/>
    <dgm:cxn modelId="{A0ED63AF-EC68-4627-8068-AD3A7C15939E}" type="presOf" srcId="{59140BF2-B1D8-40DF-9325-AE842007065B}" destId="{7A925BF8-FC2B-4E8F-A4EC-806BADED6510}" srcOrd="0" destOrd="0" presId="urn:microsoft.com/office/officeart/2005/8/layout/orgChart1"/>
    <dgm:cxn modelId="{E6C754AF-CE33-4C23-AA23-2886A52784C6}" type="presOf" srcId="{CA233F8E-C68E-40C2-B0A3-C486CDB9FCB3}" destId="{E9F8AB39-2B1D-4998-BACE-17ACE9A743C9}" srcOrd="0" destOrd="0" presId="urn:microsoft.com/office/officeart/2005/8/layout/orgChart1"/>
    <dgm:cxn modelId="{1721E579-F2CB-4FCF-9EF8-B59BB774E4D3}" type="presOf" srcId="{DD816F3E-B55C-43DA-B8E2-4CD90B5BD52F}" destId="{0BC35692-BA7A-4E62-8AF8-2434E7F2BA6F}" srcOrd="0" destOrd="0" presId="urn:microsoft.com/office/officeart/2005/8/layout/orgChart1"/>
    <dgm:cxn modelId="{F1C1562F-E15D-4C4E-85E9-9BF6C8CF2490}" type="presParOf" srcId="{7A925BF8-FC2B-4E8F-A4EC-806BADED6510}" destId="{DDA85A59-A125-4810-A94D-879910B9EF5D}" srcOrd="0" destOrd="0" presId="urn:microsoft.com/office/officeart/2005/8/layout/orgChart1"/>
    <dgm:cxn modelId="{EA003EDE-FCA5-4FAF-8C4C-2A763C88E65B}" type="presParOf" srcId="{DDA85A59-A125-4810-A94D-879910B9EF5D}" destId="{74357DE8-2CEC-4BD4-8771-7DB1FB78C824}" srcOrd="0" destOrd="0" presId="urn:microsoft.com/office/officeart/2005/8/layout/orgChart1"/>
    <dgm:cxn modelId="{7002716D-0BE6-432A-84C7-7AAFAD2D1872}" type="presParOf" srcId="{74357DE8-2CEC-4BD4-8771-7DB1FB78C824}" destId="{B5F1C179-0B91-440B-B053-BE071DAA416C}" srcOrd="0" destOrd="0" presId="urn:microsoft.com/office/officeart/2005/8/layout/orgChart1"/>
    <dgm:cxn modelId="{61721FAE-A024-4C0B-88E4-165BC485ED5A}" type="presParOf" srcId="{74357DE8-2CEC-4BD4-8771-7DB1FB78C824}" destId="{526E7F67-47E8-419F-A3BC-D98C3B9C72E8}" srcOrd="1" destOrd="0" presId="urn:microsoft.com/office/officeart/2005/8/layout/orgChart1"/>
    <dgm:cxn modelId="{1CA69846-A0B8-4620-95E5-C75D6DAD6FB1}" type="presParOf" srcId="{DDA85A59-A125-4810-A94D-879910B9EF5D}" destId="{C922A6C0-5DAD-4A29-8C22-F950FAE23041}" srcOrd="1" destOrd="0" presId="urn:microsoft.com/office/officeart/2005/8/layout/orgChart1"/>
    <dgm:cxn modelId="{F8AF26C3-2F4E-4464-99DB-8C0CA6C86525}" type="presParOf" srcId="{C922A6C0-5DAD-4A29-8C22-F950FAE23041}" destId="{0BC35692-BA7A-4E62-8AF8-2434E7F2BA6F}" srcOrd="0" destOrd="0" presId="urn:microsoft.com/office/officeart/2005/8/layout/orgChart1"/>
    <dgm:cxn modelId="{0DF1CF04-E145-401F-B7F0-66D214E55964}" type="presParOf" srcId="{C922A6C0-5DAD-4A29-8C22-F950FAE23041}" destId="{CEF19DBB-ACF4-4C69-BF30-856F0830C920}" srcOrd="1" destOrd="0" presId="urn:microsoft.com/office/officeart/2005/8/layout/orgChart1"/>
    <dgm:cxn modelId="{CE9F8821-4B0F-4788-A8F3-7E18B62B8C70}" type="presParOf" srcId="{CEF19DBB-ACF4-4C69-BF30-856F0830C920}" destId="{7D8A012D-6ED8-42D4-9383-6898A9FA41CA}" srcOrd="0" destOrd="0" presId="urn:microsoft.com/office/officeart/2005/8/layout/orgChart1"/>
    <dgm:cxn modelId="{C7DD8CA9-3725-4822-8803-E5610A017B43}" type="presParOf" srcId="{7D8A012D-6ED8-42D4-9383-6898A9FA41CA}" destId="{565EAEF3-8476-4ECA-A33A-9D68214C3BD1}" srcOrd="0" destOrd="0" presId="urn:microsoft.com/office/officeart/2005/8/layout/orgChart1"/>
    <dgm:cxn modelId="{E0372764-E6D9-4C22-AEC2-F7C50DE904D2}" type="presParOf" srcId="{7D8A012D-6ED8-42D4-9383-6898A9FA41CA}" destId="{977861E1-C5DF-4F95-8935-3145DDA61A02}" srcOrd="1" destOrd="0" presId="urn:microsoft.com/office/officeart/2005/8/layout/orgChart1"/>
    <dgm:cxn modelId="{2E544066-E966-4CF1-856F-CEA25B4B0C56}" type="presParOf" srcId="{CEF19DBB-ACF4-4C69-BF30-856F0830C920}" destId="{D8C94872-899B-46E4-B1A2-B2A6E848C2F5}" srcOrd="1" destOrd="0" presId="urn:microsoft.com/office/officeart/2005/8/layout/orgChart1"/>
    <dgm:cxn modelId="{8799EA2D-7835-4648-8083-51636D230C7F}" type="presParOf" srcId="{CEF19DBB-ACF4-4C69-BF30-856F0830C920}" destId="{9861432E-AE8E-45D7-9CA6-A6F83A44AAD7}" srcOrd="2" destOrd="0" presId="urn:microsoft.com/office/officeart/2005/8/layout/orgChart1"/>
    <dgm:cxn modelId="{BCA8D070-DEA0-4E6D-A856-CEFB68A29508}" type="presParOf" srcId="{C922A6C0-5DAD-4A29-8C22-F950FAE23041}" destId="{8144CD91-0BF1-459B-9FD1-EE1E10E58876}" srcOrd="2" destOrd="0" presId="urn:microsoft.com/office/officeart/2005/8/layout/orgChart1"/>
    <dgm:cxn modelId="{A0FD220F-9F27-4BB5-B8D0-D0F0663F42EF}" type="presParOf" srcId="{C922A6C0-5DAD-4A29-8C22-F950FAE23041}" destId="{5656126E-6054-4F94-A358-7639E6E3CC8A}" srcOrd="3" destOrd="0" presId="urn:microsoft.com/office/officeart/2005/8/layout/orgChart1"/>
    <dgm:cxn modelId="{3A8BEEAD-E634-4732-A6ED-AD2AE9DED3EE}" type="presParOf" srcId="{5656126E-6054-4F94-A358-7639E6E3CC8A}" destId="{7844F895-F341-4C8C-AF89-EC472187C45A}" srcOrd="0" destOrd="0" presId="urn:microsoft.com/office/officeart/2005/8/layout/orgChart1"/>
    <dgm:cxn modelId="{8AB4FB51-8378-4B71-A4E2-E5DF1CAA2526}" type="presParOf" srcId="{7844F895-F341-4C8C-AF89-EC472187C45A}" destId="{E7787C3F-A6DE-464B-8BEA-51745D4769F8}" srcOrd="0" destOrd="0" presId="urn:microsoft.com/office/officeart/2005/8/layout/orgChart1"/>
    <dgm:cxn modelId="{1B4C36E5-4165-4D8B-81FA-DCC7B9E2CC7D}" type="presParOf" srcId="{7844F895-F341-4C8C-AF89-EC472187C45A}" destId="{8B5A7257-209F-4439-92ED-0B5C68DA2A82}" srcOrd="1" destOrd="0" presId="urn:microsoft.com/office/officeart/2005/8/layout/orgChart1"/>
    <dgm:cxn modelId="{5D01C188-7DC9-493B-9FAE-88073D14C39A}" type="presParOf" srcId="{5656126E-6054-4F94-A358-7639E6E3CC8A}" destId="{6F588787-191D-4B66-8B40-BC23B30A4AAA}" srcOrd="1" destOrd="0" presId="urn:microsoft.com/office/officeart/2005/8/layout/orgChart1"/>
    <dgm:cxn modelId="{B9B4EBE4-DEE7-4C7D-9882-D951A56497C3}" type="presParOf" srcId="{5656126E-6054-4F94-A358-7639E6E3CC8A}" destId="{392A3824-E216-4116-A11D-BCF86E837F09}" srcOrd="2" destOrd="0" presId="urn:microsoft.com/office/officeart/2005/8/layout/orgChart1"/>
    <dgm:cxn modelId="{31DAB2C6-1C82-4E37-ABE6-6BF82FCDC94D}" type="presParOf" srcId="{C922A6C0-5DAD-4A29-8C22-F950FAE23041}" destId="{8109FA22-C213-488E-B594-B06F32E5BA6B}" srcOrd="4" destOrd="0" presId="urn:microsoft.com/office/officeart/2005/8/layout/orgChart1"/>
    <dgm:cxn modelId="{7495212D-2924-4901-B9E9-A0AE99589347}" type="presParOf" srcId="{C922A6C0-5DAD-4A29-8C22-F950FAE23041}" destId="{FBCA4442-FD63-4E93-902B-D797D2E6E87A}" srcOrd="5" destOrd="0" presId="urn:microsoft.com/office/officeart/2005/8/layout/orgChart1"/>
    <dgm:cxn modelId="{600970E1-F757-48FD-B373-33982338300D}" type="presParOf" srcId="{FBCA4442-FD63-4E93-902B-D797D2E6E87A}" destId="{FAB2FCD4-D3E9-472B-B3A7-4D0176C32FB5}" srcOrd="0" destOrd="0" presId="urn:microsoft.com/office/officeart/2005/8/layout/orgChart1"/>
    <dgm:cxn modelId="{D7A1C99E-F7C3-418F-8BDC-E89BE70A1BFC}" type="presParOf" srcId="{FAB2FCD4-D3E9-472B-B3A7-4D0176C32FB5}" destId="{E9F8AB39-2B1D-4998-BACE-17ACE9A743C9}" srcOrd="0" destOrd="0" presId="urn:microsoft.com/office/officeart/2005/8/layout/orgChart1"/>
    <dgm:cxn modelId="{DE67A05F-6081-4AC5-AA26-398DCDD75AC0}" type="presParOf" srcId="{FAB2FCD4-D3E9-472B-B3A7-4D0176C32FB5}" destId="{9D8CBAD1-5A95-49DD-BC29-10E7FE271EE2}" srcOrd="1" destOrd="0" presId="urn:microsoft.com/office/officeart/2005/8/layout/orgChart1"/>
    <dgm:cxn modelId="{9B24279C-A795-4820-9550-3F87618AE254}" type="presParOf" srcId="{FBCA4442-FD63-4E93-902B-D797D2E6E87A}" destId="{5DAED34F-FEC2-42BE-8690-48B9805E3A5F}" srcOrd="1" destOrd="0" presId="urn:microsoft.com/office/officeart/2005/8/layout/orgChart1"/>
    <dgm:cxn modelId="{C9BDCC8B-3BB8-460D-BB8E-7CB7D7D8C2AE}" type="presParOf" srcId="{FBCA4442-FD63-4E93-902B-D797D2E6E87A}" destId="{A636D8EC-55DB-4373-8BD7-154D05ED6C2F}" srcOrd="2" destOrd="0" presId="urn:microsoft.com/office/officeart/2005/8/layout/orgChart1"/>
    <dgm:cxn modelId="{B8443B9F-2EFC-4392-9A35-D2432E0D4153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9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15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1E10-667F-4404-8DD2-58B03B37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23</Pages>
  <Words>8541</Words>
  <Characters>48689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47</cp:revision>
  <cp:lastPrinted>2021-02-15T08:18:00Z</cp:lastPrinted>
  <dcterms:created xsi:type="dcterms:W3CDTF">2017-12-27T07:54:00Z</dcterms:created>
  <dcterms:modified xsi:type="dcterms:W3CDTF">2021-02-15T08:21:00Z</dcterms:modified>
</cp:coreProperties>
</file>