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EC7419" w:rsidRDefault="003557DE" w:rsidP="001E68B3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ы жителей Верхневолжья</w:t>
      </w:r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, связанные с </w:t>
      </w:r>
      <w:r w:rsidR="00EC7419">
        <w:rPr>
          <w:rFonts w:ascii="Segoe UI" w:eastAsia="Times New Roman" w:hAnsi="Segoe UI" w:cs="Segoe UI"/>
          <w:bCs/>
          <w:sz w:val="32"/>
          <w:szCs w:val="32"/>
          <w:lang w:eastAsia="ru-RU"/>
        </w:rPr>
        <w:t>защитой имущественных прав несовершеннолетних</w:t>
      </w:r>
      <w:proofErr w:type="gramEnd"/>
    </w:p>
    <w:p w:rsidR="00203B8A" w:rsidRPr="009A6F64" w:rsidRDefault="00EC7419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>
        <w:rPr>
          <w:rStyle w:val="a8"/>
          <w:rFonts w:asciiTheme="minorHAnsi" w:hAnsiTheme="minorHAnsi" w:cs="Segoe UI"/>
          <w:b w:val="0"/>
          <w:sz w:val="24"/>
          <w:szCs w:val="24"/>
        </w:rPr>
        <w:t xml:space="preserve">1 </w:t>
      </w:r>
      <w:r w:rsidRPr="00EC7419">
        <w:rPr>
          <w:rFonts w:ascii="Segoe UI" w:eastAsia="Times New Roman" w:hAnsi="Segoe UI"/>
          <w:sz w:val="24"/>
          <w:szCs w:val="24"/>
          <w:lang w:eastAsia="ru-RU"/>
        </w:rPr>
        <w:t>и</w:t>
      </w:r>
      <w:r w:rsidRPr="00EC7419">
        <w:rPr>
          <w:rStyle w:val="a8"/>
          <w:rFonts w:ascii="Segoe UI" w:hAnsi="Segoe UI" w:cs="Segoe UI"/>
          <w:b w:val="0"/>
          <w:sz w:val="24"/>
          <w:szCs w:val="24"/>
        </w:rPr>
        <w:t>юня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в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Управлении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Росреестра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по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Тверской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области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состоялась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тематическая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горячая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Style w:val="a8"/>
          <w:rFonts w:ascii="Segoe UI" w:hAnsi="Segoe UI" w:cs="Segoe UI"/>
          <w:b w:val="0"/>
          <w:sz w:val="24"/>
          <w:szCs w:val="24"/>
        </w:rPr>
        <w:t>линия</w:t>
      </w:r>
      <w:r w:rsidR="00203B8A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203B8A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="00203B8A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203B8A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вопросам</w:t>
      </w:r>
      <w:r w:rsidR="00203B8A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="00203B8A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касающимся</w:t>
      </w:r>
      <w:r w:rsidR="00203B8A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защиты имущественных прав несовершеннолетних при оформлении объектов недвижимости</w:t>
      </w:r>
      <w:r w:rsidR="00203B8A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.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D17E19" w:rsidRPr="003E2224" w:rsidRDefault="00203B8A" w:rsidP="00EC7419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r w:rsidRPr="009A6F64">
        <w:rPr>
          <w:rFonts w:ascii="Segoe UI" w:hAnsi="Segoe UI" w:cs="Segoe UI"/>
        </w:rPr>
        <w:t>Мероприятие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дало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</w:rPr>
        <w:t>возможность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EC7419">
        <w:rPr>
          <w:rStyle w:val="a8"/>
          <w:rFonts w:ascii="Segoe UI" w:hAnsi="Segoe UI" w:cs="Segoe UI"/>
          <w:b w:val="0"/>
        </w:rPr>
        <w:t>жителям Верхневолжья</w:t>
      </w:r>
      <w:r w:rsidR="00066C93" w:rsidRPr="009A6F64">
        <w:rPr>
          <w:rStyle w:val="a8"/>
          <w:rFonts w:ascii="Segoe UI Symbol" w:hAnsi="Segoe UI Symbol" w:cs="Segoe UI"/>
          <w:b w:val="0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</w:rPr>
        <w:t>получить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актуальную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информацию</w:t>
      </w:r>
      <w:r w:rsidR="00066C93" w:rsidRPr="003E2224">
        <w:rPr>
          <w:rFonts w:ascii="Segoe UI" w:hAnsi="Segoe UI" w:cs="Segoe UI"/>
        </w:rPr>
        <w:t xml:space="preserve"> </w:t>
      </w:r>
      <w:r w:rsidR="00066C93" w:rsidRPr="009A6F64">
        <w:rPr>
          <w:rFonts w:ascii="Segoe UI" w:hAnsi="Segoe UI" w:cs="Segoe UI"/>
        </w:rPr>
        <w:t>по</w:t>
      </w:r>
      <w:r w:rsidR="00066C93" w:rsidRPr="003E2224">
        <w:rPr>
          <w:rFonts w:ascii="Segoe UI" w:hAnsi="Segoe UI" w:cs="Segoe UI"/>
        </w:rPr>
        <w:t xml:space="preserve"> </w:t>
      </w:r>
      <w:r w:rsidR="00066C93" w:rsidRPr="009A6F64">
        <w:rPr>
          <w:rFonts w:ascii="Segoe UI" w:hAnsi="Segoe UI" w:cs="Segoe UI"/>
        </w:rPr>
        <w:t>вопросам</w:t>
      </w:r>
      <w:r w:rsidR="00066C93" w:rsidRPr="003E2224">
        <w:rPr>
          <w:rFonts w:ascii="Segoe UI" w:hAnsi="Segoe UI" w:cs="Segoe UI"/>
        </w:rPr>
        <w:t xml:space="preserve">, </w:t>
      </w:r>
      <w:r w:rsidR="00066C93" w:rsidRPr="009A6F64">
        <w:rPr>
          <w:rFonts w:ascii="Segoe UI" w:hAnsi="Segoe UI" w:cs="Segoe UI"/>
        </w:rPr>
        <w:t>связанным</w:t>
      </w:r>
      <w:r w:rsidR="00066C93" w:rsidRPr="003E2224">
        <w:rPr>
          <w:rFonts w:ascii="Segoe UI" w:hAnsi="Segoe UI" w:cs="Segoe UI"/>
        </w:rPr>
        <w:t xml:space="preserve"> </w:t>
      </w:r>
      <w:r w:rsidR="00066C93" w:rsidRPr="009A6F64">
        <w:rPr>
          <w:rFonts w:ascii="Segoe UI" w:hAnsi="Segoe UI" w:cs="Segoe UI"/>
        </w:rPr>
        <w:t>с</w:t>
      </w:r>
      <w:r w:rsidR="00066C93" w:rsidRPr="003E2224">
        <w:rPr>
          <w:rFonts w:ascii="Segoe UI" w:hAnsi="Segoe UI" w:cs="Segoe UI"/>
        </w:rPr>
        <w:t xml:space="preserve"> </w:t>
      </w:r>
      <w:r w:rsidR="00EC7419" w:rsidRPr="003E2224">
        <w:rPr>
          <w:rFonts w:ascii="Segoe UI" w:hAnsi="Segoe UI" w:cs="Segoe UI"/>
        </w:rPr>
        <w:t xml:space="preserve">особенностями регистрации прав несовершеннолетних на объекты недвижимости, а также мерами защиты при совершении сделок с участием несовершеннолетних, предусмотренными действующим законодательством. </w:t>
      </w:r>
      <w:r w:rsidR="00066C93" w:rsidRPr="003E2224">
        <w:rPr>
          <w:rFonts w:ascii="Segoe UI" w:hAnsi="Segoe UI" w:cs="Segoe UI"/>
        </w:rPr>
        <w:t xml:space="preserve">Всего на горячую линию обратилось </w:t>
      </w:r>
      <w:r w:rsidR="003E2224" w:rsidRPr="003E2224">
        <w:rPr>
          <w:rFonts w:ascii="Segoe UI" w:hAnsi="Segoe UI" w:cs="Segoe UI"/>
        </w:rPr>
        <w:t xml:space="preserve">9 </w:t>
      </w:r>
      <w:r w:rsidR="00066C93" w:rsidRPr="003E2224">
        <w:rPr>
          <w:rFonts w:ascii="Segoe UI" w:hAnsi="Segoe UI" w:cs="Segoe UI"/>
        </w:rPr>
        <w:t>человек.</w:t>
      </w:r>
      <w:r w:rsidR="00934552" w:rsidRPr="003E2224">
        <w:rPr>
          <w:rFonts w:ascii="Segoe UI" w:hAnsi="Segoe UI" w:cs="Segoe UI"/>
        </w:rPr>
        <w:t xml:space="preserve"> </w:t>
      </w:r>
      <w:r w:rsidRPr="003E2224">
        <w:rPr>
          <w:rFonts w:ascii="Segoe UI" w:hAnsi="Segoe UI" w:cs="Segoe UI"/>
        </w:rPr>
        <w:t>С</w:t>
      </w:r>
      <w:r w:rsidRPr="009A6F64">
        <w:rPr>
          <w:rFonts w:ascii="Segoe UI" w:hAnsi="Segoe UI" w:cs="Segoe UI"/>
        </w:rPr>
        <w:t>пециалисты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отдела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государственной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регистрации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недвижимости</w:t>
      </w:r>
      <w:r w:rsidRPr="003E2224">
        <w:rPr>
          <w:rFonts w:ascii="Segoe UI" w:hAnsi="Segoe UI" w:cs="Segoe UI"/>
        </w:rPr>
        <w:t xml:space="preserve"> №</w:t>
      </w:r>
      <w:r w:rsidR="00EC7419" w:rsidRPr="003E2224">
        <w:rPr>
          <w:rFonts w:ascii="Segoe UI" w:hAnsi="Segoe UI" w:cs="Segoe UI"/>
        </w:rPr>
        <w:t>1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регионального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Управления</w:t>
      </w:r>
      <w:r w:rsidRPr="003E2224">
        <w:rPr>
          <w:rFonts w:ascii="Segoe UI" w:hAnsi="Segoe UI" w:cs="Segoe UI"/>
        </w:rPr>
        <w:t xml:space="preserve"> Росреестра </w:t>
      </w:r>
      <w:r w:rsidRPr="009A6F64">
        <w:rPr>
          <w:rFonts w:ascii="Segoe UI" w:hAnsi="Segoe UI" w:cs="Segoe UI"/>
        </w:rPr>
        <w:t>в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максимально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доступной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форме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ответили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на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все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вопросы</w:t>
      </w:r>
      <w:r w:rsidRPr="003E2224">
        <w:rPr>
          <w:rFonts w:ascii="Segoe UI" w:hAnsi="Segoe UI" w:cs="Segoe UI"/>
        </w:rPr>
        <w:t xml:space="preserve">, </w:t>
      </w:r>
      <w:r w:rsidRPr="009A6F64">
        <w:rPr>
          <w:rFonts w:ascii="Segoe UI" w:hAnsi="Segoe UI" w:cs="Segoe UI"/>
        </w:rPr>
        <w:t>поступившие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ходе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горячей</w:t>
      </w:r>
      <w:r w:rsidRPr="003E2224">
        <w:rPr>
          <w:rFonts w:ascii="Segoe UI" w:hAnsi="Segoe UI" w:cs="Segoe UI"/>
        </w:rPr>
        <w:t xml:space="preserve"> </w:t>
      </w:r>
      <w:r w:rsidRPr="009A6F64">
        <w:rPr>
          <w:rFonts w:ascii="Segoe UI" w:hAnsi="Segoe UI" w:cs="Segoe UI"/>
        </w:rPr>
        <w:t>линии</w:t>
      </w:r>
      <w:r w:rsidRPr="003E2224">
        <w:rPr>
          <w:rFonts w:ascii="Segoe UI" w:hAnsi="Segoe UI" w:cs="Segoe UI"/>
        </w:rPr>
        <w:t xml:space="preserve">. </w:t>
      </w:r>
      <w:r w:rsidR="00934552" w:rsidRPr="003E2224">
        <w:rPr>
          <w:rFonts w:ascii="Segoe UI" w:hAnsi="Segoe UI" w:cs="Segoe UI"/>
        </w:rPr>
        <w:t xml:space="preserve">Ниже мы публикуем ответы на самые </w:t>
      </w:r>
      <w:r w:rsidRPr="003E2224">
        <w:rPr>
          <w:rFonts w:ascii="Segoe UI" w:hAnsi="Segoe UI" w:cs="Segoe UI"/>
        </w:rPr>
        <w:t>интересные из них.</w:t>
      </w:r>
    </w:p>
    <w:p w:rsidR="00D17E19" w:rsidRPr="009A6F64" w:rsidRDefault="00D17E19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C038DA" w:rsidRPr="00E629C5" w:rsidRDefault="00C038DA" w:rsidP="0057695D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1: «</w:t>
      </w:r>
      <w:r w:rsidR="003E2224">
        <w:rPr>
          <w:rStyle w:val="FontStyle14"/>
          <w:rFonts w:ascii="Arial" w:hAnsi="Arial" w:cs="Arial"/>
          <w:sz w:val="24"/>
          <w:szCs w:val="24"/>
        </w:rPr>
        <w:t>П</w:t>
      </w:r>
      <w:r w:rsidR="000C4227" w:rsidRPr="00E629C5">
        <w:rPr>
          <w:rStyle w:val="FontStyle14"/>
          <w:sz w:val="24"/>
          <w:szCs w:val="24"/>
        </w:rPr>
        <w:t>риобретаем дом стоимостью 1,5 млн рублей, из которых 1 млн рублей – это совместная с</w:t>
      </w:r>
      <w:r w:rsidR="009C4FB1">
        <w:rPr>
          <w:rStyle w:val="FontStyle14"/>
          <w:sz w:val="24"/>
          <w:szCs w:val="24"/>
        </w:rPr>
        <w:t xml:space="preserve">обственность супругов, 500 тыс. рублей </w:t>
      </w:r>
      <w:r w:rsidR="000C4227" w:rsidRPr="00E629C5">
        <w:rPr>
          <w:rStyle w:val="FontStyle14"/>
          <w:sz w:val="24"/>
          <w:szCs w:val="24"/>
        </w:rPr>
        <w:t xml:space="preserve">– материнский капитал. В договоре пропишем, что 2/3 доли приобретается в общую совместную собственность супругов, по 1/12 доли на каждого из супругов и каждого ребёнка (двоих детей). Нужно ли </w:t>
      </w:r>
      <w:r w:rsidR="00E629C5" w:rsidRPr="00E629C5">
        <w:rPr>
          <w:rStyle w:val="FontStyle14"/>
          <w:sz w:val="24"/>
          <w:szCs w:val="24"/>
        </w:rPr>
        <w:t xml:space="preserve">в таком случае </w:t>
      </w:r>
      <w:r w:rsidR="000C4227" w:rsidRPr="00E629C5">
        <w:rPr>
          <w:rStyle w:val="FontStyle14"/>
          <w:sz w:val="24"/>
          <w:szCs w:val="24"/>
        </w:rPr>
        <w:t>нот</w:t>
      </w:r>
      <w:r w:rsidR="00E629C5">
        <w:rPr>
          <w:rStyle w:val="FontStyle14"/>
          <w:sz w:val="24"/>
          <w:szCs w:val="24"/>
        </w:rPr>
        <w:t>ариальное удостоверение сделки?</w:t>
      </w:r>
      <w:r w:rsidR="000C4227" w:rsidRPr="00E629C5">
        <w:rPr>
          <w:rStyle w:val="FontStyle14"/>
          <w:sz w:val="24"/>
          <w:szCs w:val="24"/>
        </w:rPr>
        <w:t xml:space="preserve"> </w:t>
      </w:r>
      <w:r w:rsidRPr="00E629C5">
        <w:rPr>
          <w:rStyle w:val="FontStyle14"/>
          <w:sz w:val="24"/>
          <w:szCs w:val="24"/>
        </w:rPr>
        <w:t>».</w:t>
      </w:r>
    </w:p>
    <w:p w:rsidR="00C038DA" w:rsidRPr="00E629C5" w:rsidRDefault="00C038DA" w:rsidP="0057695D">
      <w:pPr>
        <w:pStyle w:val="Style6"/>
        <w:widowControl/>
        <w:spacing w:line="240" w:lineRule="auto"/>
        <w:rPr>
          <w:rFonts w:ascii="Segoe UI" w:hAnsi="Segoe UI"/>
          <w:b/>
          <w:bCs/>
        </w:rPr>
      </w:pPr>
    </w:p>
    <w:p w:rsidR="003A2795" w:rsidRPr="00E629C5" w:rsidRDefault="00C038DA" w:rsidP="0057695D">
      <w:pPr>
        <w:pStyle w:val="Style6"/>
        <w:widowControl/>
        <w:spacing w:line="240" w:lineRule="auto"/>
        <w:rPr>
          <w:rFonts w:ascii="Segoe UI" w:hAnsi="Segoe UI" w:cs="Segoe UI"/>
          <w:bCs/>
        </w:rPr>
      </w:pPr>
      <w:r w:rsidRPr="00E629C5">
        <w:rPr>
          <w:rFonts w:ascii="Segoe UI" w:hAnsi="Segoe UI"/>
          <w:bCs/>
        </w:rPr>
        <w:t xml:space="preserve">- </w:t>
      </w:r>
      <w:r w:rsidR="00E629C5" w:rsidRPr="00E629C5">
        <w:rPr>
          <w:rFonts w:ascii="Segoe UI" w:hAnsi="Segoe UI" w:cs="Segoe UI"/>
          <w:bCs/>
        </w:rPr>
        <w:t xml:space="preserve">В соответствии с </w:t>
      </w:r>
      <w:proofErr w:type="gramStart"/>
      <w:r w:rsidR="00E629C5" w:rsidRPr="00E629C5">
        <w:rPr>
          <w:rFonts w:ascii="Segoe UI" w:hAnsi="Segoe UI" w:cs="Segoe UI"/>
          <w:bCs/>
        </w:rPr>
        <w:t>ч</w:t>
      </w:r>
      <w:proofErr w:type="gramEnd"/>
      <w:r w:rsidR="00E629C5" w:rsidRPr="00E629C5">
        <w:rPr>
          <w:rFonts w:ascii="Segoe UI" w:hAnsi="Segoe UI" w:cs="Segoe UI"/>
          <w:bCs/>
        </w:rPr>
        <w:t xml:space="preserve">.1 ст.34 Семейного кодекса Российской Федерации (СК РФ) имущество, нажитое супругами во время брака, является их совместной собственностью, однако в соответствии с ч.2 названной статьи денежные выплаты, имеющие специальное целевое назначение, к которым и относятся средства материнского капитала, не являются совместно нажитым имуществом супругов. </w:t>
      </w:r>
    </w:p>
    <w:p w:rsidR="00E629C5" w:rsidRDefault="00E629C5" w:rsidP="0057695D">
      <w:pPr>
        <w:pStyle w:val="Style6"/>
        <w:widowControl/>
        <w:spacing w:line="240" w:lineRule="auto"/>
        <w:rPr>
          <w:rStyle w:val="FontStyle14"/>
          <w:rFonts w:ascii="Arial" w:hAnsi="Arial" w:cs="Arial"/>
          <w:b w:val="0"/>
          <w:sz w:val="24"/>
          <w:szCs w:val="24"/>
        </w:rPr>
      </w:pPr>
    </w:p>
    <w:p w:rsidR="00E629C5" w:rsidRPr="00E629C5" w:rsidRDefault="00E629C5" w:rsidP="0057695D">
      <w:pPr>
        <w:pStyle w:val="Style6"/>
        <w:widowControl/>
        <w:spacing w:line="240" w:lineRule="auto"/>
        <w:rPr>
          <w:rFonts w:ascii="Segoe UI" w:hAnsi="Segoe UI" w:cs="Segoe UI"/>
        </w:rPr>
      </w:pPr>
      <w:r w:rsidRPr="00E629C5">
        <w:rPr>
          <w:rFonts w:ascii="Segoe UI" w:hAnsi="Segoe UI" w:cs="Segoe UI"/>
        </w:rPr>
        <w:t>Положением ст. 38 СК РФ предусмотрено, что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E629C5" w:rsidRDefault="00E629C5" w:rsidP="0057695D">
      <w:pPr>
        <w:pStyle w:val="Style6"/>
        <w:widowControl/>
        <w:spacing w:line="240" w:lineRule="auto"/>
        <w:rPr>
          <w:rFonts w:ascii="Segoe UI" w:hAnsi="Segoe UI" w:cs="Segoe UI"/>
          <w:bCs/>
        </w:rPr>
      </w:pPr>
      <w:r w:rsidRPr="00E629C5">
        <w:rPr>
          <w:rFonts w:ascii="Segoe UI" w:hAnsi="Segoe UI" w:cs="Segoe UI"/>
          <w:bCs/>
        </w:rPr>
        <w:lastRenderedPageBreak/>
        <w:t xml:space="preserve">Таким образом, в случае если недвижимое имущество </w:t>
      </w:r>
      <w:r w:rsidR="009D5DAE">
        <w:rPr>
          <w:rFonts w:ascii="Segoe UI" w:hAnsi="Segoe UI" w:cs="Segoe UI"/>
          <w:bCs/>
        </w:rPr>
        <w:t>приобретается</w:t>
      </w:r>
      <w:r w:rsidRPr="00E629C5">
        <w:rPr>
          <w:rFonts w:ascii="Segoe UI" w:hAnsi="Segoe UI" w:cs="Segoe UI"/>
          <w:bCs/>
        </w:rPr>
        <w:t xml:space="preserve"> в период брака частично за счёт средств материнского капитала и частично за счёт средств супругов</w:t>
      </w:r>
      <w:r w:rsidR="00F94E7C">
        <w:rPr>
          <w:rFonts w:ascii="Segoe UI" w:hAnsi="Segoe UI" w:cs="Segoe UI"/>
          <w:bCs/>
        </w:rPr>
        <w:t xml:space="preserve"> в общую долевую собственность с определением доли каждого из супругов</w:t>
      </w:r>
      <w:r w:rsidRPr="00E629C5">
        <w:rPr>
          <w:rFonts w:ascii="Segoe UI" w:hAnsi="Segoe UI" w:cs="Segoe UI"/>
          <w:bCs/>
        </w:rPr>
        <w:t xml:space="preserve">, то </w:t>
      </w:r>
      <w:r w:rsidR="00F94E7C">
        <w:rPr>
          <w:rFonts w:ascii="Segoe UI" w:hAnsi="Segoe UI" w:cs="Segoe UI"/>
          <w:bCs/>
        </w:rPr>
        <w:t xml:space="preserve">такая сделка подлежит </w:t>
      </w:r>
      <w:r w:rsidRPr="00E629C5">
        <w:rPr>
          <w:rFonts w:ascii="Segoe UI" w:hAnsi="Segoe UI" w:cs="Segoe UI"/>
          <w:bCs/>
        </w:rPr>
        <w:t>нотариально</w:t>
      </w:r>
      <w:r w:rsidR="00F94E7C">
        <w:rPr>
          <w:rFonts w:ascii="Segoe UI" w:hAnsi="Segoe UI" w:cs="Segoe UI"/>
          <w:bCs/>
        </w:rPr>
        <w:t>му</w:t>
      </w:r>
      <w:r w:rsidRPr="00E629C5">
        <w:rPr>
          <w:rFonts w:ascii="Segoe UI" w:hAnsi="Segoe UI" w:cs="Segoe UI"/>
          <w:bCs/>
        </w:rPr>
        <w:t xml:space="preserve"> удостовер</w:t>
      </w:r>
      <w:r w:rsidR="00F94E7C">
        <w:rPr>
          <w:rFonts w:ascii="Segoe UI" w:hAnsi="Segoe UI" w:cs="Segoe UI"/>
          <w:bCs/>
        </w:rPr>
        <w:t>ению.</w:t>
      </w:r>
    </w:p>
    <w:p w:rsidR="00E629C5" w:rsidRDefault="00E629C5" w:rsidP="0057695D">
      <w:pPr>
        <w:pStyle w:val="Style6"/>
        <w:widowControl/>
        <w:spacing w:line="240" w:lineRule="auto"/>
        <w:rPr>
          <w:rFonts w:ascii="Segoe UI" w:hAnsi="Segoe UI" w:cs="Segoe UI"/>
          <w:bCs/>
        </w:rPr>
      </w:pPr>
    </w:p>
    <w:p w:rsidR="00E629C5" w:rsidRPr="00E629C5" w:rsidRDefault="00E629C5" w:rsidP="0057695D">
      <w:pPr>
        <w:pStyle w:val="Style6"/>
        <w:widowControl/>
        <w:spacing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При оформлении имущества в общую долевую собственность родителей и детей в случае</w:t>
      </w:r>
      <w:r w:rsidR="003E222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если доля родителей остаётся их совместной собственностью, то нотариальное удостоверение не требуется.</w:t>
      </w:r>
    </w:p>
    <w:p w:rsidR="006B310F" w:rsidRPr="009A6F64" w:rsidRDefault="006B310F" w:rsidP="0057695D">
      <w:pPr>
        <w:pStyle w:val="Style6"/>
        <w:widowControl/>
        <w:spacing w:line="240" w:lineRule="auto"/>
        <w:rPr>
          <w:rFonts w:ascii="Segoe UI Symbol" w:hAnsi="Segoe UI Symbol" w:cs="Segoe UI"/>
        </w:rPr>
      </w:pPr>
    </w:p>
    <w:p w:rsidR="001051E2" w:rsidRPr="002566F9" w:rsidRDefault="001051E2" w:rsidP="0057695D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2566F9">
        <w:rPr>
          <w:rStyle w:val="FontStyle14"/>
          <w:sz w:val="24"/>
          <w:szCs w:val="24"/>
        </w:rPr>
        <w:t xml:space="preserve"> № 2: «</w:t>
      </w:r>
      <w:r w:rsidR="002566F9" w:rsidRPr="002566F9">
        <w:rPr>
          <w:rStyle w:val="FontStyle14"/>
          <w:sz w:val="24"/>
          <w:szCs w:val="24"/>
        </w:rPr>
        <w:t xml:space="preserve">В 2013 году покупали жилой дом </w:t>
      </w:r>
      <w:proofErr w:type="gramStart"/>
      <w:r w:rsidR="002566F9" w:rsidRPr="002566F9">
        <w:rPr>
          <w:rStyle w:val="FontStyle14"/>
          <w:sz w:val="24"/>
          <w:szCs w:val="24"/>
        </w:rPr>
        <w:t>в Калининском районе за счёт средств материнского капитала в долевую собственность по ¼ на мужа</w:t>
      </w:r>
      <w:proofErr w:type="gramEnd"/>
      <w:r w:rsidR="002566F9" w:rsidRPr="002566F9">
        <w:rPr>
          <w:rStyle w:val="FontStyle14"/>
          <w:sz w:val="24"/>
          <w:szCs w:val="24"/>
        </w:rPr>
        <w:t>, жену  и дв</w:t>
      </w:r>
      <w:r w:rsidR="003E2224">
        <w:rPr>
          <w:rStyle w:val="FontStyle14"/>
          <w:sz w:val="24"/>
          <w:szCs w:val="24"/>
        </w:rPr>
        <w:t>ои</w:t>
      </w:r>
      <w:r w:rsidR="002566F9" w:rsidRPr="002566F9">
        <w:rPr>
          <w:rStyle w:val="FontStyle14"/>
          <w:sz w:val="24"/>
          <w:szCs w:val="24"/>
        </w:rPr>
        <w:t>х детей. В свидетельствах о праве собственности на дом и</w:t>
      </w:r>
      <w:r w:rsidR="004B67E7">
        <w:rPr>
          <w:rStyle w:val="FontStyle14"/>
          <w:sz w:val="24"/>
          <w:szCs w:val="24"/>
        </w:rPr>
        <w:t xml:space="preserve"> земельный участок стоит фраза </w:t>
      </w:r>
      <w:r w:rsidR="002566F9" w:rsidRPr="002566F9">
        <w:rPr>
          <w:rStyle w:val="FontStyle14"/>
          <w:sz w:val="24"/>
          <w:szCs w:val="24"/>
        </w:rPr>
        <w:t xml:space="preserve">«Ипотека в силу закона». С продавцом рассчитались полностью средствами материнского капитала. Сейчас хотим </w:t>
      </w:r>
      <w:r w:rsidR="00765AC3">
        <w:rPr>
          <w:rStyle w:val="FontStyle14"/>
          <w:sz w:val="24"/>
          <w:szCs w:val="24"/>
        </w:rPr>
        <w:t xml:space="preserve">продавать </w:t>
      </w:r>
      <w:r w:rsidR="002566F9" w:rsidRPr="002566F9">
        <w:rPr>
          <w:rStyle w:val="FontStyle14"/>
          <w:sz w:val="24"/>
          <w:szCs w:val="24"/>
        </w:rPr>
        <w:t>дом. Нужно ли снимать это обременение или это неважно в данном случае?»</w:t>
      </w:r>
    </w:p>
    <w:p w:rsidR="001051E2" w:rsidRPr="009A6F64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765AC3" w:rsidRDefault="001051E2" w:rsidP="00765AC3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765AC3">
        <w:rPr>
          <w:rFonts w:ascii="Times New Roman" w:hAnsi="Times New Roman" w:cs="Times New Roman"/>
          <w:sz w:val="26"/>
          <w:szCs w:val="26"/>
        </w:rPr>
        <w:t xml:space="preserve"> </w:t>
      </w:r>
      <w:r w:rsidR="00765AC3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Продажа дома возможна с согласия </w:t>
      </w:r>
      <w:r w:rsidR="009C4FB1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продавца (</w:t>
      </w:r>
      <w:r w:rsidR="00765AC3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залогодержателя</w:t>
      </w:r>
      <w:r w:rsidR="009C4FB1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)</w:t>
      </w:r>
      <w:r w:rsidR="00765AC3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.</w:t>
      </w:r>
      <w:r w:rsidR="009C4FB1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Однако</w:t>
      </w:r>
      <w:proofErr w:type="gramStart"/>
      <w:r w:rsidR="009C4FB1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,</w:t>
      </w:r>
      <w:proofErr w:type="gramEnd"/>
      <w:r w:rsidR="009C4FB1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если Вы рассчитались с продавцом полностью, то Вы можете </w:t>
      </w:r>
      <w:r w:rsid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легко </w:t>
      </w:r>
      <w:r w:rsidR="009C4FB1" w:rsidRPr="009C4FB1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снять данное обременение.</w:t>
      </w:r>
      <w:r w:rsidR="009C4FB1" w:rsidRPr="009C4FB1">
        <w:rPr>
          <w:rStyle w:val="a8"/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65AC3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 соответствии со статьё</w:t>
      </w:r>
      <w:r w:rsidR="00765AC3" w:rsidRPr="00765AC3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й 25 Федерального закона от 16.07.1998</w:t>
      </w:r>
      <w:r w:rsidR="004B67E7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</w:t>
      </w:r>
      <w:r w:rsidR="003E2224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    </w:t>
      </w:r>
      <w:r w:rsidR="00765AC3" w:rsidRPr="00765AC3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№ 102-ФЗ «Об ипотеке (залоге недвижимости)</w:t>
      </w:r>
      <w:r w:rsidR="003E2224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»</w:t>
      </w:r>
      <w:r w:rsidR="00765AC3" w:rsidRPr="00765AC3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регистрационная запись об ипотеке погашается в течение тр</w:t>
      </w:r>
      <w:r w:rsidR="00765AC3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ё</w:t>
      </w:r>
      <w:r w:rsidR="00765AC3" w:rsidRPr="00765AC3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х рабочих дней с момента поступления в орган регистрации прав совместного заявления залогодателя и залогодержателя либо заявления залогодержателя.</w:t>
      </w:r>
    </w:p>
    <w:p w:rsidR="00F46BDC" w:rsidRDefault="00F46BDC" w:rsidP="00765AC3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</w:p>
    <w:p w:rsidR="00F46BDC" w:rsidRPr="00F46BDC" w:rsidRDefault="00F46BDC" w:rsidP="00765AC3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  <w:r w:rsidRPr="00F46BDC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Вместе с тем хотим обратить Ваше внимание на то, что сделки по отчуждению недвижимого имущества, принадлежащего несовершеннолетнему гражданину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,</w:t>
      </w:r>
      <w:r w:rsidRPr="00F46BDC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подлежат обязательному нотариальному удостоверению.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</w:t>
      </w:r>
      <w:r w:rsidRPr="00F46BDC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Кроме того, перед продажей дома Вам потребуется на это разрешение органов опеки.</w:t>
      </w:r>
    </w:p>
    <w:p w:rsidR="00765AC3" w:rsidRPr="00251341" w:rsidRDefault="00765AC3" w:rsidP="00765AC3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B347A" w:rsidRPr="00251341" w:rsidRDefault="002B347A" w:rsidP="0057695D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251341">
        <w:rPr>
          <w:rStyle w:val="FontStyle14"/>
          <w:sz w:val="24"/>
          <w:szCs w:val="24"/>
        </w:rPr>
        <w:t xml:space="preserve"> № </w:t>
      </w:r>
      <w:r w:rsidR="00A04381" w:rsidRPr="00251341">
        <w:rPr>
          <w:rStyle w:val="FontStyle14"/>
          <w:sz w:val="24"/>
          <w:szCs w:val="24"/>
        </w:rPr>
        <w:t>3</w:t>
      </w:r>
      <w:r w:rsidRPr="00251341">
        <w:rPr>
          <w:rStyle w:val="FontStyle14"/>
          <w:sz w:val="24"/>
          <w:szCs w:val="24"/>
        </w:rPr>
        <w:t>: «</w:t>
      </w:r>
      <w:r w:rsidR="00251341" w:rsidRPr="00251341">
        <w:rPr>
          <w:rStyle w:val="FontStyle14"/>
          <w:sz w:val="24"/>
          <w:szCs w:val="24"/>
        </w:rPr>
        <w:t>Когда мы приватизировали квартиру, мой сын был несовершеннолетним. Теперь он вырос, получил паспорт. Нужно ли нам обращаться в Росреестр для актуализации этих сведений?</w:t>
      </w:r>
      <w:r w:rsidRPr="00251341">
        <w:rPr>
          <w:rStyle w:val="FontStyle14"/>
          <w:sz w:val="24"/>
          <w:szCs w:val="24"/>
        </w:rPr>
        <w:t>»</w:t>
      </w:r>
    </w:p>
    <w:p w:rsidR="002B347A" w:rsidRPr="00251341" w:rsidRDefault="002B347A" w:rsidP="0057695D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</w:p>
    <w:p w:rsidR="002D4636" w:rsidRPr="00965345" w:rsidRDefault="002F7AB4" w:rsidP="002D4636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2D4636">
        <w:rPr>
          <w:rStyle w:val="FontStyle14"/>
          <w:rFonts w:asciiTheme="minorHAnsi" w:hAnsiTheme="minorHAnsi"/>
          <w:b w:val="0"/>
          <w:sz w:val="24"/>
          <w:szCs w:val="24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Единый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государственный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реестр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недвижимости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(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ЕГРН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)  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является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сводом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достоверных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сведений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о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недвижимости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,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правах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на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не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ё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и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е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ё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правообладателях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>.  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Поэтому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при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изменении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содержащихся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нё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м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сведений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новые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сведения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должны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быть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включены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 xml:space="preserve"> 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реестр</w:t>
      </w:r>
      <w:r w:rsidR="002D4636" w:rsidRPr="00965345">
        <w:rPr>
          <w:rStyle w:val="a8"/>
          <w:rFonts w:ascii="Segoe UI Symbol" w:eastAsia="Times New Roman" w:hAnsi="Segoe UI Symbol" w:cs="Segoe UI"/>
          <w:b w:val="0"/>
          <w:sz w:val="24"/>
          <w:szCs w:val="24"/>
          <w:lang w:eastAsia="ru-RU"/>
        </w:rPr>
        <w:t>. 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Заявление об их внесении может самостоятельно подать любое заинтересованное лицо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, обратившись для этого в любой из офисов МФЦ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. Заявление можно подать, в том числе, при изменении адреса объекта недвижимости, Ф</w:t>
      </w:r>
      <w:r w:rsidR="003E2224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И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О правообладателя или сведений о документе, удостоверяющего его личность. Это может потребоваться, например, если 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собственнику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нужна выписка из ЕГРН о 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принадлежащей ему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недвижимости и необходимо, чтобы в 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документе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содержались </w:t>
      </w:r>
      <w:r w:rsidR="002D4636" w:rsidRPr="002273C1">
        <w:rPr>
          <w:rStyle w:val="a8"/>
          <w:rFonts w:ascii="Segoe UI" w:eastAsia="Times New Roman" w:hAnsi="Segoe UI" w:cs="Segoe UI"/>
          <w:b w:val="0"/>
          <w:sz w:val="24"/>
          <w:szCs w:val="24"/>
          <w:u w:val="single"/>
          <w:lang w:eastAsia="ru-RU"/>
        </w:rPr>
        <w:t>актуальные сведения</w:t>
      </w:r>
      <w:r w:rsidR="002D4636"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о правообладателе.  </w:t>
      </w:r>
      <w:r w:rsidR="002D4636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 заявлении мы рекомендуем также указывать номер телефона и адрес электронной почты заявителя.</w:t>
      </w:r>
    </w:p>
    <w:p w:rsidR="002D4636" w:rsidRDefault="002D4636" w:rsidP="002D4636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</w:p>
    <w:p w:rsidR="002D4636" w:rsidRDefault="002D4636" w:rsidP="002D4636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Орган регистрации прав в течение трёх рабочих дней со дня получения заявления обязан сам запросить в порядке межведомственного взаимодействия необходимые для внесения в ЕГРН документы (сведения, содержащиеся в них) у иных госорганов и органов местного самоуправления. В установленный срок указанные органы должны направить в орган регистрации прав нео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бходимые документы или сведения, которые в</w:t>
      </w: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носятся в ЕГРН в течение 15 рабочих дней с даты 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их </w:t>
      </w: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поступления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.</w:t>
      </w: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В подтверждение этого н</w:t>
      </w: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е позднее пяти рабочих дней со дня внесения сведений в реестр 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заявителю</w:t>
      </w: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будет направлено соответствующее уведомление.</w:t>
      </w:r>
    </w:p>
    <w:p w:rsidR="002D4636" w:rsidRPr="00965345" w:rsidRDefault="002D4636" w:rsidP="002D4636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</w:pP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br/>
        <w:t xml:space="preserve">Орган регистрации прав откажет во внесении сведений в ЕГРН в случае, если его уведомят об отсутствии документов (сведений, содержащихся в них), которые необходимы для внесения сведений в ЕГРН. В этом случае в течение трёх рабочих дней со дня получения такого уведомления </w:t>
      </w:r>
      <w:r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>заявителю</w:t>
      </w:r>
      <w:r w:rsidRPr="00965345">
        <w:rPr>
          <w:rStyle w:val="a8"/>
          <w:rFonts w:ascii="Segoe UI" w:eastAsia="Times New Roman" w:hAnsi="Segoe UI" w:cs="Segoe UI"/>
          <w:b w:val="0"/>
          <w:sz w:val="24"/>
          <w:szCs w:val="24"/>
          <w:lang w:eastAsia="ru-RU"/>
        </w:rPr>
        <w:t xml:space="preserve"> направят соответствующий отказ.</w:t>
      </w:r>
    </w:p>
    <w:p w:rsidR="00A72E09" w:rsidRPr="009A6F64" w:rsidRDefault="00A72E09" w:rsidP="00251341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E122AB" w:rsidRPr="0003071B" w:rsidRDefault="00237A36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237A3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227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51E2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0CD5"/>
    <w:rsid w:val="001D45B3"/>
    <w:rsid w:val="001E10FB"/>
    <w:rsid w:val="001E523E"/>
    <w:rsid w:val="001E68B3"/>
    <w:rsid w:val="001E73C2"/>
    <w:rsid w:val="001E7B7E"/>
    <w:rsid w:val="002000AF"/>
    <w:rsid w:val="00203B8A"/>
    <w:rsid w:val="002066F5"/>
    <w:rsid w:val="002118A0"/>
    <w:rsid w:val="00227808"/>
    <w:rsid w:val="00231608"/>
    <w:rsid w:val="0023215F"/>
    <w:rsid w:val="00237A36"/>
    <w:rsid w:val="0024029A"/>
    <w:rsid w:val="002420C2"/>
    <w:rsid w:val="00242840"/>
    <w:rsid w:val="00242B72"/>
    <w:rsid w:val="00251341"/>
    <w:rsid w:val="002566F9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D4636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4566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563E"/>
    <w:rsid w:val="003C6738"/>
    <w:rsid w:val="003C74D2"/>
    <w:rsid w:val="003D4A1C"/>
    <w:rsid w:val="003D6474"/>
    <w:rsid w:val="003E222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2ADC"/>
    <w:rsid w:val="00485147"/>
    <w:rsid w:val="00490191"/>
    <w:rsid w:val="00496DB7"/>
    <w:rsid w:val="004A7EEE"/>
    <w:rsid w:val="004B67E7"/>
    <w:rsid w:val="004B7804"/>
    <w:rsid w:val="004B7ED3"/>
    <w:rsid w:val="004C1A5B"/>
    <w:rsid w:val="004C4A2E"/>
    <w:rsid w:val="004C4A9F"/>
    <w:rsid w:val="004E3E3C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D7181"/>
    <w:rsid w:val="005F5545"/>
    <w:rsid w:val="005F57CF"/>
    <w:rsid w:val="005F60F9"/>
    <w:rsid w:val="005F74FA"/>
    <w:rsid w:val="00606B1B"/>
    <w:rsid w:val="00610B33"/>
    <w:rsid w:val="00623E87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02E7"/>
    <w:rsid w:val="00764EFE"/>
    <w:rsid w:val="00765AC3"/>
    <w:rsid w:val="00766546"/>
    <w:rsid w:val="00766850"/>
    <w:rsid w:val="00771665"/>
    <w:rsid w:val="00787E1D"/>
    <w:rsid w:val="0079198F"/>
    <w:rsid w:val="007967E7"/>
    <w:rsid w:val="00796E19"/>
    <w:rsid w:val="00797A6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4FB1"/>
    <w:rsid w:val="009C5403"/>
    <w:rsid w:val="009D0AE2"/>
    <w:rsid w:val="009D216F"/>
    <w:rsid w:val="009D2743"/>
    <w:rsid w:val="009D5DAE"/>
    <w:rsid w:val="009E1302"/>
    <w:rsid w:val="009E46F5"/>
    <w:rsid w:val="009E67DF"/>
    <w:rsid w:val="009F2659"/>
    <w:rsid w:val="00A04381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3244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E773C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29C5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419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46BDC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94E7C"/>
    <w:rsid w:val="00FA493D"/>
    <w:rsid w:val="00FA5459"/>
    <w:rsid w:val="00FA6DBC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D7898"/>
    <w:rsid w:val="00FE0C51"/>
    <w:rsid w:val="00FE7DBF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F108-7F7B-4947-8220-7AED450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2020-10-02T07:03:00Z</cp:lastPrinted>
  <dcterms:created xsi:type="dcterms:W3CDTF">2021-06-01T12:22:00Z</dcterms:created>
  <dcterms:modified xsi:type="dcterms:W3CDTF">2021-06-03T07:08:00Z</dcterms:modified>
</cp:coreProperties>
</file>