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54" w:rsidRDefault="00D13A54">
      <w:pPr>
        <w:rPr>
          <w:rFonts w:ascii="Arial" w:hAnsi="Arial" w:cs="Arial"/>
          <w:color w:val="212529"/>
          <w:shd w:val="clear" w:color="auto" w:fill="FFFFFF"/>
        </w:rPr>
      </w:pPr>
    </w:p>
    <w:p w:rsidR="00D13A54" w:rsidRDefault="00D13A54">
      <w:pPr>
        <w:rPr>
          <w:rFonts w:ascii="Arial" w:hAnsi="Arial" w:cs="Arial"/>
          <w:b/>
          <w:bCs/>
          <w:color w:val="212529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212529"/>
          <w:sz w:val="36"/>
          <w:szCs w:val="36"/>
          <w:shd w:val="clear" w:color="auto" w:fill="FFFFFF"/>
        </w:rPr>
        <w:t>Подведены итоги мероприятия «Снегоход»</w:t>
      </w:r>
    </w:p>
    <w:p w:rsidR="006D7F49" w:rsidRDefault="006D7F49">
      <w:pPr>
        <w:rPr>
          <w:rFonts w:ascii="Arial" w:hAnsi="Arial" w:cs="Arial"/>
          <w:color w:val="212529"/>
          <w:shd w:val="clear" w:color="auto" w:fill="FFFFFF"/>
        </w:rPr>
      </w:pPr>
    </w:p>
    <w:p w:rsidR="00D13A54" w:rsidRDefault="006D7F49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noProof/>
          <w:color w:val="212529"/>
          <w:shd w:val="clear" w:color="auto" w:fill="FFFFFF"/>
          <w:lang w:eastAsia="ru-RU"/>
        </w:rPr>
        <w:drawing>
          <wp:inline distT="0" distB="0" distL="0" distR="0">
            <wp:extent cx="5930265" cy="3336925"/>
            <wp:effectExtent l="0" t="0" r="0" b="0"/>
            <wp:docPr id="2" name="Рисунок 2" descr="D:\Desktop\IMG-20230215-WA000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IMG-20230215-WA0009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A54" w:rsidRDefault="00D13A54">
      <w:pPr>
        <w:rPr>
          <w:rFonts w:ascii="Arial" w:hAnsi="Arial" w:cs="Arial"/>
          <w:color w:val="212529"/>
          <w:shd w:val="clear" w:color="auto" w:fill="FFFFFF"/>
        </w:rPr>
      </w:pPr>
      <w:bookmarkStart w:id="0" w:name="_GoBack"/>
      <w:bookmarkEnd w:id="0"/>
    </w:p>
    <w:p w:rsidR="004A079D" w:rsidRDefault="00D13A54">
      <w:r>
        <w:rPr>
          <w:rFonts w:ascii="Arial" w:hAnsi="Arial" w:cs="Arial"/>
          <w:color w:val="212529"/>
          <w:shd w:val="clear" w:color="auto" w:fill="FFFFFF"/>
        </w:rPr>
        <w:t xml:space="preserve">В Тверской области завершилось комплексное мероприятие по обеспечению безопасной эксплуатации внедорожных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мототранспортных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средств «Снегоход». Мероприятие проходило совместно с представителями Управления МЧС России по Тверской области, правоохранительными органами, а также другими региональными и федеральными службами.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FFFFF"/>
        </w:rPr>
        <w:t>Тверская область является одним из популярных мест отдыха для любителей снегоходов.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FFFFF"/>
        </w:rPr>
        <w:t xml:space="preserve">Всего в регионе зарегистрировано 2419 снегоходов. За время проведения мероприятия 1449 снегоходов было представлено на технический осмотр, 82 снегохода зарегистрировано, выдано 578  удостоверений на право управления внедорожной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мототехникой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.  Проведена адресная работа по вопросам эксплуатации внедорожной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мототехники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более чем с 2000 владельцами снегоходов. Объявлено 511 предостережений о недопустимости нарушений обязательных требований в области технического состояния и эксплуатации снегоходов.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FFFFF"/>
        </w:rPr>
        <w:t xml:space="preserve">Данное мероприятие проводится ежегодно и направлено на предупреждение несчастных случаев и происшествий, возникающих при эксплуатации внедорожных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мототранспортных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средств, а также пресечение нарушений обязательных требований в области эксплуатации такой техники</w:t>
      </w:r>
    </w:p>
    <w:sectPr w:rsidR="004A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54"/>
    <w:rsid w:val="004A079D"/>
    <w:rsid w:val="006D7F49"/>
    <w:rsid w:val="00D1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2023-03-23T08:07:00Z</dcterms:created>
  <dcterms:modified xsi:type="dcterms:W3CDTF">2023-03-23T09:07:00Z</dcterms:modified>
</cp:coreProperties>
</file>