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6" w:rsidRDefault="00300836" w:rsidP="00300836"/>
    <w:p w:rsidR="00300836" w:rsidRDefault="00300836" w:rsidP="00300836">
      <w:pPr>
        <w:ind w:left="4820"/>
        <w:jc w:val="right"/>
      </w:pPr>
      <w:r>
        <w:t>УТВЕРЖДЕНА</w:t>
      </w:r>
    </w:p>
    <w:p w:rsidR="00300836" w:rsidRDefault="00300836" w:rsidP="00300836">
      <w:pPr>
        <w:ind w:left="4820"/>
        <w:jc w:val="right"/>
      </w:pPr>
      <w:r>
        <w:t>постановлением Администрации</w:t>
      </w:r>
    </w:p>
    <w:p w:rsidR="00300836" w:rsidRDefault="00300836" w:rsidP="00300836">
      <w:pPr>
        <w:ind w:left="4820"/>
        <w:jc w:val="right"/>
      </w:pPr>
      <w:r>
        <w:t>Весьегонского муниципального округа</w:t>
      </w:r>
    </w:p>
    <w:p w:rsidR="00300836" w:rsidRDefault="00300836" w:rsidP="00300836">
      <w:pPr>
        <w:ind w:left="4820"/>
        <w:jc w:val="right"/>
      </w:pPr>
      <w:r>
        <w:t xml:space="preserve">от   </w:t>
      </w:r>
      <w:r w:rsidR="00CC5C93">
        <w:t>__________</w:t>
      </w:r>
      <w:r>
        <w:t xml:space="preserve"> № </w:t>
      </w:r>
      <w:r w:rsidR="00CC5C93">
        <w:t>_____</w:t>
      </w:r>
      <w:r>
        <w:t xml:space="preserve"> </w:t>
      </w:r>
    </w:p>
    <w:p w:rsidR="00300836" w:rsidRDefault="00300836" w:rsidP="00300836">
      <w:pPr>
        <w:ind w:left="4820"/>
      </w:pPr>
    </w:p>
    <w:p w:rsidR="00300836" w:rsidRDefault="00300836" w:rsidP="00300836">
      <w:pPr>
        <w:ind w:left="4820"/>
      </w:pPr>
    </w:p>
    <w:p w:rsidR="00300836" w:rsidRDefault="00300836" w:rsidP="00300836">
      <w:pPr>
        <w:ind w:left="4820"/>
      </w:pPr>
    </w:p>
    <w:p w:rsidR="00300836" w:rsidRDefault="00300836" w:rsidP="00300836">
      <w:pPr>
        <w:ind w:left="4820"/>
      </w:pPr>
    </w:p>
    <w:p w:rsidR="00300836" w:rsidRDefault="00300836" w:rsidP="00300836">
      <w:pPr>
        <w:ind w:left="12474"/>
      </w:pPr>
    </w:p>
    <w:p w:rsidR="00300836" w:rsidRDefault="00300836" w:rsidP="00300836">
      <w:pPr>
        <w:ind w:left="12474"/>
      </w:pPr>
    </w:p>
    <w:p w:rsidR="00300836" w:rsidRDefault="00300836" w:rsidP="00300836">
      <w:pPr>
        <w:ind w:left="12474"/>
      </w:pPr>
    </w:p>
    <w:p w:rsidR="00300836" w:rsidRDefault="00300836" w:rsidP="00300836">
      <w:pPr>
        <w:ind w:left="12474"/>
      </w:pPr>
    </w:p>
    <w:p w:rsidR="00300836" w:rsidRDefault="00300836" w:rsidP="00300836">
      <w:pPr>
        <w:autoSpaceDE w:val="0"/>
        <w:autoSpaceDN w:val="0"/>
        <w:adjustRightInd w:val="0"/>
        <w:ind w:firstLine="540"/>
        <w:jc w:val="both"/>
      </w:pPr>
    </w:p>
    <w:p w:rsidR="00300836" w:rsidRDefault="00300836" w:rsidP="00300836">
      <w:pPr>
        <w:autoSpaceDE w:val="0"/>
        <w:autoSpaceDN w:val="0"/>
        <w:adjustRightInd w:val="0"/>
        <w:jc w:val="center"/>
      </w:pPr>
      <w:r>
        <w:t xml:space="preserve">МУНИЦИПАЛЬНАЯ ПРОГРАММА </w:t>
      </w: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</w:rPr>
      </w:pPr>
      <w:r>
        <w:tab/>
        <w:t xml:space="preserve">Весьегонского муниципального округа Тверской области  </w:t>
      </w:r>
    </w:p>
    <w:p w:rsidR="00300836" w:rsidRDefault="00300836" w:rsidP="00300836">
      <w:pPr>
        <w:jc w:val="center"/>
      </w:pPr>
      <w:r>
        <w:t>«Молодежь Весьегонского муниципального округа Тверской области» на 2024-2029 годы</w:t>
      </w: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</w:pPr>
      <w:r>
        <w:t xml:space="preserve">                                                                  г. Весьегонск </w:t>
      </w:r>
    </w:p>
    <w:p w:rsidR="00300836" w:rsidRDefault="00300836" w:rsidP="00300836">
      <w:pPr>
        <w:autoSpaceDE w:val="0"/>
        <w:autoSpaceDN w:val="0"/>
        <w:adjustRightInd w:val="0"/>
        <w:jc w:val="center"/>
      </w:pPr>
      <w:r>
        <w:t>2024</w:t>
      </w:r>
    </w:p>
    <w:p w:rsidR="00300836" w:rsidRDefault="00300836" w:rsidP="00300836">
      <w:pPr>
        <w:autoSpaceDE w:val="0"/>
        <w:autoSpaceDN w:val="0"/>
        <w:adjustRightInd w:val="0"/>
        <w:jc w:val="center"/>
        <w:rPr>
          <w:caps/>
        </w:rPr>
      </w:pPr>
    </w:p>
    <w:p w:rsidR="00300836" w:rsidRDefault="00300836" w:rsidP="00300836">
      <w:pPr>
        <w:autoSpaceDE w:val="0"/>
        <w:autoSpaceDN w:val="0"/>
        <w:adjustRightInd w:val="0"/>
        <w:jc w:val="center"/>
        <w:rPr>
          <w:b/>
        </w:rPr>
      </w:pPr>
    </w:p>
    <w:p w:rsidR="00300836" w:rsidRDefault="00300836" w:rsidP="003008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300836" w:rsidRDefault="00300836" w:rsidP="00300836">
      <w:pPr>
        <w:autoSpaceDE w:val="0"/>
        <w:autoSpaceDN w:val="0"/>
        <w:adjustRightInd w:val="0"/>
        <w:jc w:val="center"/>
      </w:pPr>
      <w:r>
        <w:t>муниципальной программы</w:t>
      </w: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Весьегонского муниципального округа Тверской области  «Молодежь Весьегонского муниципального округа Тверской области» на 2024-2029 годы</w:t>
      </w: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</w:pPr>
      <w: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93"/>
        <w:gridCol w:w="6102"/>
      </w:tblGrid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Наименование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«Молодежь Весьегонского муниципального округа Тверской области» на 2024 -2029 год</w:t>
            </w:r>
          </w:p>
        </w:tc>
      </w:tr>
      <w:tr w:rsidR="00300836" w:rsidTr="00300836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Администрация Весьегонского муниципального округа Тверской области</w:t>
            </w:r>
          </w:p>
        </w:tc>
      </w:tr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Исполнитель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Отдел по работе с молодёжью и спорту Администрации Весьегонского муниципального округа Тверской области</w:t>
            </w:r>
          </w:p>
        </w:tc>
      </w:tr>
      <w:tr w:rsidR="00300836" w:rsidTr="00300836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2024 – 2029 годы</w:t>
            </w:r>
          </w:p>
        </w:tc>
      </w:tr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-обеспечение эффективной социализации и самореализации молодых граждан в Весьегонском муниципальном округе Тверской области;</w:t>
            </w:r>
          </w:p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-обеспечение жильем молодых семей.</w:t>
            </w:r>
          </w:p>
        </w:tc>
      </w:tr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jc w:val="both"/>
            </w:pPr>
            <w: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300836" w:rsidRDefault="00300836">
            <w:pPr>
              <w:jc w:val="both"/>
            </w:pPr>
            <w:r>
              <w:t>Подпрограмма 2  «Содействие в обеспечении жильем молодых семей»</w:t>
            </w:r>
          </w:p>
          <w:p w:rsidR="00300836" w:rsidRDefault="00300836">
            <w:pPr>
              <w:jc w:val="both"/>
            </w:pPr>
            <w:r>
              <w:t>Подпрограмма 3 «Поддержка семьи и детей»</w:t>
            </w:r>
          </w:p>
        </w:tc>
      </w:tr>
      <w:tr w:rsidR="00300836" w:rsidTr="00300836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Увеличение доли молодых граждан Весьегонского муниципального округа, участвующих в мероприятиях молодежной политики.</w:t>
            </w:r>
          </w:p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Повышение уровня информированности молодежи о предоставляемых в Весьегонском муниципальном округе возможностях для саморазвития и самореализации.</w:t>
            </w:r>
          </w:p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Создание условий для повышения уровня  обеспеченности жильем молодых семей Весьегонском муниципальном округе</w:t>
            </w:r>
          </w:p>
          <w:p w:rsidR="00300836" w:rsidRDefault="00300836">
            <w:pPr>
              <w:autoSpaceDE w:val="0"/>
              <w:autoSpaceDN w:val="0"/>
              <w:adjustRightInd w:val="0"/>
            </w:pPr>
            <w:r>
              <w:t>Улучшение демографической ситуации в округе.</w:t>
            </w:r>
          </w:p>
        </w:tc>
      </w:tr>
      <w:tr w:rsidR="00300836" w:rsidTr="00300836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300836" w:rsidRDefault="00300836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Общий объем финансирования программы –  3 106 548,00 руб., из которых 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2024 год – </w:t>
            </w:r>
            <w:r>
              <w:t>526 648,00</w:t>
            </w:r>
            <w:r>
              <w:rPr>
                <w:color w:val="000000"/>
              </w:rPr>
              <w:t>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 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подпрограмма 2 – </w:t>
            </w:r>
            <w:r>
              <w:t>144 648,00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2025 год – </w:t>
            </w:r>
            <w:r>
              <w:t>515 980,00</w:t>
            </w:r>
            <w:r>
              <w:rPr>
                <w:color w:val="000000"/>
              </w:rPr>
              <w:t>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2026 год – </w:t>
            </w:r>
            <w:r>
              <w:t>515 980,00</w:t>
            </w:r>
            <w:r>
              <w:rPr>
                <w:color w:val="000000"/>
              </w:rPr>
              <w:t>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 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2027 год – 515 980,00,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2028 год – 515 980,00,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2029 год – 515 980,00,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t>подпрограмма 3 – 143 000,00</w:t>
            </w:r>
          </w:p>
        </w:tc>
      </w:tr>
    </w:tbl>
    <w:p w:rsidR="00300836" w:rsidRDefault="00300836" w:rsidP="00300836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300836" w:rsidRDefault="00300836" w:rsidP="00300836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300836" w:rsidRDefault="00300836" w:rsidP="00300836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1. Общая характеристика сферы реализации муниципальной 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1. Общая характеристика сферы реализации муниципальной программы и прогноз ее развития.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1.1. В соответствии с </w:t>
      </w:r>
      <w:hyperlink r:id="rId5" w:history="1">
        <w:r>
          <w:rPr>
            <w:rStyle w:val="a5"/>
            <w:color w:val="auto"/>
            <w:u w:val="none"/>
          </w:rPr>
          <w:t>Основами</w:t>
        </w:r>
      </w:hyperlink>
      <w:r>
        <w:t xml:space="preserve"> государственной молодежной политики в Российской Федерации на период до 2025 года, утвержденными </w:t>
      </w:r>
      <w:hyperlink r:id="rId6" w:history="1">
        <w:r>
          <w:rPr>
            <w:rStyle w:val="a5"/>
            <w:color w:val="auto"/>
            <w:u w:val="none"/>
          </w:rPr>
          <w:t>распоряжением</w:t>
        </w:r>
      </w:hyperlink>
      <w:r>
        <w:t xml:space="preserve"> Правительства Российской Федерации от 29.11.2014 N 2403-р, целью муниципальной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300836" w:rsidRDefault="00300836" w:rsidP="00300836">
      <w:pPr>
        <w:spacing w:line="240" w:lineRule="atLeast"/>
        <w:ind w:firstLine="720"/>
        <w:jc w:val="both"/>
      </w:pPr>
      <w:r>
        <w:t>1.2. Эффективная государственная молодежная политика - один из главных инструментов развития Весьегонского муниципального округа, повышения благосостояния его граждан и совершенствования общественных отношений.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Успешное решение задач социально-экономического и культурного развития территории невозможно без активного участия молодежи.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1.3. Одним из приоритетов молодежной политики объявлено решение жилищной проблемы молодых граждан Тверской области. С этой целью предусмотрена реализация </w:t>
      </w:r>
      <w:hyperlink r:id="rId7" w:history="1">
        <w:r>
          <w:rPr>
            <w:rStyle w:val="a5"/>
            <w:color w:val="auto"/>
            <w:u w:val="none"/>
          </w:rPr>
          <w:t>подпрограммы</w:t>
        </w:r>
      </w:hyperlink>
      <w:r>
        <w:t xml:space="preserve"> "Содействие в решении социально-экономических проблем молодых семей и формирование системы семейных ценностей в молодёжной среде" государственной программы «Молодёжь </w:t>
      </w:r>
      <w:proofErr w:type="spellStart"/>
      <w:r>
        <w:t>Верхневолжья</w:t>
      </w:r>
      <w:proofErr w:type="spellEnd"/>
      <w:r>
        <w:t>» на 2021-2026 годы.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 Основные проблемы в сфере реализации муниципальной программы.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2.1. Несоответствие жизненных установок, ценностей и моделей поведения молодых людей потребностям региона.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"малой родине", к ее истории и традициям.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Рост охвата молодого поколения асоциальными проявлениями, числа правонарушений молодежи обостряет социальную напряженность в обществе, создает угрозу развитию гражданского общества.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2.2. Отсутствие у молодежи интереса к участию в общественно-политической жизни общества.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Результаты исследований показывают, что молодежь в целом аполитична. В настоящий момент доля молодых людей, активно участвующих в общественно-политической жизни общества, составляет менее 10 процентов от общей численности молодых граждан. Эта тенденция проявляется во всех сферах жизни молодого человека - гражданской, профессиональной, культурной и семейной.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2.3. Ограниченные возможности молодежи для полноценной социализации и вовлечения в трудовую деятельность.</w:t>
      </w:r>
    </w:p>
    <w:p w:rsidR="00FE32C5" w:rsidRDefault="00300836" w:rsidP="00300836">
      <w:pPr>
        <w:spacing w:line="240" w:lineRule="atLeast"/>
        <w:ind w:firstLine="720"/>
        <w:jc w:val="both"/>
      </w:pPr>
      <w:r>
        <w:t xml:space="preserve">2.4. </w:t>
      </w:r>
      <w:r w:rsidR="00FE32C5">
        <w:t>Недостаточно возможностей для выявления и поощрения одаренных детей, поддержки</w:t>
      </w:r>
      <w:r w:rsidR="00FE32C5" w:rsidRPr="00FE32C5">
        <w:t xml:space="preserve"> семей с детьми</w:t>
      </w:r>
      <w:r w:rsidR="00FE32C5">
        <w:t>.</w:t>
      </w:r>
    </w:p>
    <w:p w:rsidR="00300836" w:rsidRDefault="00FE32C5" w:rsidP="00300836">
      <w:pPr>
        <w:spacing w:line="240" w:lineRule="atLeast"/>
        <w:ind w:firstLine="720"/>
        <w:jc w:val="both"/>
      </w:pPr>
      <w:r>
        <w:t xml:space="preserve">2.5. </w:t>
      </w:r>
      <w:bookmarkStart w:id="0" w:name="_GoBack"/>
      <w:bookmarkEnd w:id="0"/>
      <w:r w:rsidR="00300836">
        <w:t>Недостаточная обеспеченность жильем молодых семей.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Несмотря на модернизацию и реформирование жилищно-коммунального хозяйства, проблемы, вызванные старением жилого фонда и неразвитостью форм найма жилья, провоцируют рост цен и арендной платы за жилье. Процентные ставки по ипотечным кредитам остаются недоступными для молодых людей. Отсутствие отдельного жилья, неудовлетворительные жилищные условия способствуют созданию психологического дискомфорта, который зачастую приводит к нестабильности семейных отношений, разводам. Эти процессы осложняются в молодых семьях недостаточным уровнем их материальной обеспеченности в силу низкой квалификации и сравнительно невысокой заработной платы молодежи, отсутствием у нее опыта семейной и социальной жизнедеятельности.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Раздел 2. Цели муниципальной 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3. Цель муниципальной программы: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- обеспечение эффективной социализации и самореализации молодых граждан в Весьегонском муниципальном округе Тверской области.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-  обеспечение жильем молодых семей.</w:t>
      </w:r>
    </w:p>
    <w:p w:rsidR="00300836" w:rsidRDefault="00300836" w:rsidP="00300836">
      <w:pPr>
        <w:spacing w:line="240" w:lineRule="atLeast"/>
        <w:ind w:firstLine="720"/>
        <w:jc w:val="both"/>
      </w:pPr>
      <w:r>
        <w:t>4. Показателями, характеризующими достижение цели муниципальной программы, являются: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количество молодых граждан Весьегонского муниципального округа, участвующих в мероприятиях муниципальной молодежной политики;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уровень информированности молодежи о предоставляемых в Весьегонском муниципальном округе возможностях для саморазвития и самореализации;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количество молодых семей участвующих в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Раздел 3.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5. Реализация муниципальной программы связана с выполнением следующих подпрограмм: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подпрограмма 1  «Создание условий для вовлечения молодежи в общественно-политическую, социально – экономическую и культурную жизнь общества»;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подпрограмма  2 «Содействие в обеспечении жильем молодых семей»;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подпрограмма 3 «Поддержка семьи и детей».</w:t>
      </w:r>
    </w:p>
    <w:p w:rsidR="00300836" w:rsidRDefault="00300836" w:rsidP="00300836">
      <w:pPr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Подраздел 1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</w:rPr>
      </w:pPr>
      <w:r>
        <w:rPr>
          <w:b/>
        </w:rPr>
        <w:t>Подпрограмма  1 «Создание условий для вовлечения молодежи в общественно-политическую, социально-экономическую и культурную жизнь общества»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Глава 1. Задачи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6. Реализация подпрограммы  «Создание условий для вовлечения молодежи в общественно-политическую, социально-экономическую и культурную жизнь общества» связана с решением следующих задач:</w:t>
      </w:r>
    </w:p>
    <w:p w:rsidR="00300836" w:rsidRDefault="00300836" w:rsidP="00300836">
      <w:pPr>
        <w:spacing w:line="240" w:lineRule="atLeast"/>
        <w:ind w:firstLine="720"/>
        <w:jc w:val="both"/>
      </w:pPr>
      <w:r>
        <w:t>а) задача 1 – воспитание гражданственности и патриотизма;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>б) задача 2 – поддержка деятельности молодежных и детских общественных объединений, талантливой и способной молодежи, детских и молодежных позитивных инициатив;</w:t>
      </w:r>
    </w:p>
    <w:p w:rsidR="00300836" w:rsidRDefault="00300836" w:rsidP="00300836">
      <w:pPr>
        <w:spacing w:line="240" w:lineRule="atLeast"/>
        <w:ind w:firstLine="720"/>
        <w:jc w:val="both"/>
      </w:pPr>
      <w:r>
        <w:t>7. Решение задачи 1 "Воспитание гражданственности и патриотизма" оценивается с помощью следующих показателей: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доля молодежи, принявшая участие в мероприятиях гражданско – патриотической и духовно – нравственной направленности;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соревнований по военно-техническим видам спорта;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акции «Граждане России»;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мероприятий ко Дню защитника Отечества;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областных мероприятий от Весьегонского муниципального округа;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- количество заключенных договоров на </w:t>
      </w:r>
      <w:proofErr w:type="spellStart"/>
      <w:r>
        <w:t>найм</w:t>
      </w:r>
      <w:proofErr w:type="spellEnd"/>
      <w:r>
        <w:t xml:space="preserve"> транспортных средств.</w:t>
      </w:r>
    </w:p>
    <w:p w:rsidR="00300836" w:rsidRDefault="00300836" w:rsidP="00300836">
      <w:pPr>
        <w:spacing w:line="240" w:lineRule="atLeast"/>
        <w:ind w:firstLine="720"/>
        <w:jc w:val="both"/>
      </w:pPr>
      <w:r>
        <w:t>8. Решение задачи 2 «поддержка деятельности молодежных и детских общественных объединений, талантливой и способной молодежи, детских и молодежных позитивных инициатив» оценивается с помощью следующих показателей: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 - доля молодых граждан, участвующих в мероприятиях, проводимых в рамках подпрограммы 1;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мероприятий для молодежи.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- количество участников </w:t>
      </w:r>
      <w:proofErr w:type="spellStart"/>
      <w:r>
        <w:t>турслёта</w:t>
      </w:r>
      <w:proofErr w:type="spellEnd"/>
      <w:r>
        <w:t xml:space="preserve"> и палаточного лагеря;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мероприятий для молодежи;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мероприятий для молодежи;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информационных материалов, размещённых в СМИ.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Значение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Глава 2. Мероприятия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9. Решение задачи 1 выполняется посредством выполнения следующих мероприятий: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3"/>
        </w:rPr>
      </w:pPr>
      <w:r>
        <w:rPr>
          <w:color w:val="000000"/>
          <w:spacing w:val="-7"/>
        </w:rPr>
        <w:t xml:space="preserve">- </w:t>
      </w:r>
      <w:r w:rsidR="00FA0645">
        <w:rPr>
          <w:color w:val="000000"/>
          <w:spacing w:val="-7"/>
        </w:rPr>
        <w:t>п</w:t>
      </w:r>
      <w:r w:rsidR="00FA0645" w:rsidRPr="00FA0645">
        <w:rPr>
          <w:color w:val="000000"/>
          <w:spacing w:val="-7"/>
        </w:rPr>
        <w:t>оддержка молодежного волонтёрского движения</w:t>
      </w:r>
      <w:r>
        <w:rPr>
          <w:color w:val="000000"/>
          <w:spacing w:val="-3"/>
        </w:rPr>
        <w:t>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- п</w:t>
      </w:r>
      <w:r>
        <w:rPr>
          <w:color w:val="000000"/>
          <w:spacing w:val="-5"/>
        </w:rPr>
        <w:t xml:space="preserve">роведение акции «Граждане России» - торжественная церемония вручения </w:t>
      </w:r>
      <w:r>
        <w:rPr>
          <w:color w:val="000000"/>
          <w:spacing w:val="-4"/>
        </w:rPr>
        <w:t>паспортов 14-летним гражданам;</w:t>
      </w:r>
    </w:p>
    <w:p w:rsidR="00300836" w:rsidRDefault="00300836" w:rsidP="00300836">
      <w:pPr>
        <w:shd w:val="clear" w:color="auto" w:fill="FFFFFF"/>
        <w:spacing w:line="240" w:lineRule="atLeast"/>
        <w:ind w:left="24" w:right="-108" w:firstLine="720"/>
        <w:rPr>
          <w:color w:val="000000"/>
          <w:spacing w:val="-3"/>
        </w:rPr>
      </w:pPr>
      <w:r>
        <w:rPr>
          <w:color w:val="000000"/>
          <w:spacing w:val="-4"/>
        </w:rPr>
        <w:t>- организация м</w:t>
      </w:r>
      <w:r>
        <w:rPr>
          <w:color w:val="000000"/>
          <w:spacing w:val="-5"/>
        </w:rPr>
        <w:t xml:space="preserve">ероприятий ко Дню защитника </w:t>
      </w:r>
      <w:r>
        <w:rPr>
          <w:color w:val="000000"/>
          <w:spacing w:val="-4"/>
        </w:rPr>
        <w:t xml:space="preserve">Отечества: </w:t>
      </w:r>
      <w:r>
        <w:rPr>
          <w:color w:val="000000"/>
          <w:spacing w:val="-8"/>
        </w:rPr>
        <w:t xml:space="preserve"> военно-спортивный праздник; </w:t>
      </w:r>
      <w:r>
        <w:rPr>
          <w:color w:val="000000"/>
          <w:spacing w:val="-3"/>
        </w:rPr>
        <w:t>акция «Письмо солдату» и др.;</w:t>
      </w:r>
    </w:p>
    <w:p w:rsidR="00300836" w:rsidRDefault="00300836" w:rsidP="00300836">
      <w:pPr>
        <w:shd w:val="clear" w:color="auto" w:fill="FFFFFF"/>
        <w:spacing w:line="240" w:lineRule="atLeast"/>
        <w:ind w:left="24" w:right="-108" w:firstLine="720"/>
        <w:rPr>
          <w:color w:val="000000"/>
          <w:spacing w:val="-5"/>
        </w:rPr>
      </w:pPr>
      <w:r>
        <w:rPr>
          <w:color w:val="000000"/>
          <w:spacing w:val="-3"/>
        </w:rPr>
        <w:t>- участие в областных мероприятиях и спартакиадах молодёжи</w:t>
      </w:r>
      <w:r>
        <w:rPr>
          <w:color w:val="000000"/>
          <w:spacing w:val="-5"/>
        </w:rPr>
        <w:t>;</w:t>
      </w:r>
    </w:p>
    <w:p w:rsidR="00300836" w:rsidRDefault="00300836" w:rsidP="00300836">
      <w:pPr>
        <w:shd w:val="clear" w:color="auto" w:fill="FFFFFF"/>
        <w:spacing w:line="240" w:lineRule="atLeast"/>
        <w:ind w:left="24" w:right="-108" w:firstLine="720"/>
        <w:rPr>
          <w:color w:val="000000"/>
          <w:spacing w:val="-6"/>
        </w:rPr>
      </w:pPr>
      <w:r>
        <w:rPr>
          <w:color w:val="000000"/>
          <w:spacing w:val="-2"/>
        </w:rPr>
        <w:t>- н</w:t>
      </w:r>
      <w:r>
        <w:rPr>
          <w:color w:val="000000"/>
          <w:spacing w:val="-6"/>
        </w:rPr>
        <w:t>аем транспортных сре</w:t>
      </w:r>
      <w:proofErr w:type="gramStart"/>
      <w:r>
        <w:rPr>
          <w:color w:val="000000"/>
          <w:spacing w:val="-6"/>
        </w:rPr>
        <w:t>дств  дл</w:t>
      </w:r>
      <w:proofErr w:type="gramEnd"/>
      <w:r>
        <w:rPr>
          <w:color w:val="000000"/>
          <w:spacing w:val="-6"/>
        </w:rPr>
        <w:t>я участия молодёжи муниципального округа  в областных мероприятиях и соревнованиях.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10. Решение задачи 2 выполняется посредством выполнения следующих мероприятий: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5"/>
        </w:rPr>
        <w:t>- поощрение участников молодежных творческих коллективов округа в межрайонных, областных конкурсах и фестивалях</w:t>
      </w:r>
      <w:r>
        <w:rPr>
          <w:color w:val="000000"/>
          <w:spacing w:val="-1"/>
        </w:rPr>
        <w:t>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проведение первенства Весьегонского муниципального округа по туризму среди молодежи и других спортивных мероприятий для молодёжи;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проведение групповых развивающих программ и тренингов для молодёжи.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</w:t>
      </w:r>
      <w:r w:rsidR="00FA0645">
        <w:rPr>
          <w:color w:val="000000"/>
          <w:spacing w:val="-5"/>
        </w:rPr>
        <w:t>п</w:t>
      </w:r>
      <w:r w:rsidR="00FA0645" w:rsidRPr="00FA0645">
        <w:rPr>
          <w:color w:val="000000"/>
          <w:spacing w:val="-5"/>
        </w:rPr>
        <w:t>роведение тура "Летние каникулы в г</w:t>
      </w:r>
      <w:proofErr w:type="gramStart"/>
      <w:r w:rsidR="00FA0645" w:rsidRPr="00FA0645">
        <w:rPr>
          <w:color w:val="000000"/>
          <w:spacing w:val="-5"/>
        </w:rPr>
        <w:t>.С</w:t>
      </w:r>
      <w:proofErr w:type="gramEnd"/>
      <w:r w:rsidR="00FA0645" w:rsidRPr="00FA0645">
        <w:rPr>
          <w:color w:val="000000"/>
          <w:spacing w:val="-5"/>
        </w:rPr>
        <w:t>анкт-Петербурге"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</w:t>
      </w:r>
      <w:r>
        <w:rPr>
          <w:color w:val="000000"/>
          <w:spacing w:val="-6"/>
        </w:rPr>
        <w:t>информирование молодёжи в части безопасного поведения, действий в чрезвычайных ситуациях</w:t>
      </w:r>
      <w:r>
        <w:rPr>
          <w:color w:val="000000"/>
          <w:spacing w:val="-5"/>
        </w:rPr>
        <w:t>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Выполнение мероприятий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spacing w:line="240" w:lineRule="atLeast"/>
        <w:ind w:firstLine="720"/>
        <w:jc w:val="both"/>
      </w:pPr>
    </w:p>
    <w:p w:rsidR="00300836" w:rsidRDefault="00300836" w:rsidP="00300836">
      <w:pPr>
        <w:spacing w:line="240" w:lineRule="atLeast"/>
        <w:ind w:firstLine="720"/>
        <w:jc w:val="center"/>
        <w:rPr>
          <w:b/>
          <w:bCs/>
        </w:rPr>
      </w:pPr>
      <w:r>
        <w:rPr>
          <w:b/>
        </w:rPr>
        <w:t xml:space="preserve">Глава3. </w:t>
      </w:r>
      <w:r>
        <w:rPr>
          <w:b/>
          <w:bCs/>
        </w:rPr>
        <w:t>Объем финансовых ресурсов, необходимый для реализации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11. Общий объем бюджетных ассигнований, выделенный на реализаци</w:t>
      </w:r>
      <w:r w:rsidR="00FA0645">
        <w:t>ю подпрограммы 1, составляет 1 4</w:t>
      </w:r>
      <w:r>
        <w:t>34 000,00 руб.</w:t>
      </w:r>
    </w:p>
    <w:p w:rsidR="00FA0645" w:rsidRDefault="00FA0645" w:rsidP="00300836">
      <w:pPr>
        <w:spacing w:line="240" w:lineRule="atLeast"/>
        <w:ind w:firstLine="720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2692"/>
        <w:gridCol w:w="3259"/>
        <w:gridCol w:w="2126"/>
      </w:tblGrid>
      <w:tr w:rsidR="00300836" w:rsidTr="00FA0645">
        <w:trPr>
          <w:trHeight w:val="8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Годы реализации подпрограммы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Финансовые ресурсы, необходимые для реализации подпрограммы 1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"Создание условий для вовлечения молодежи в общественно-политическую, социально-экономическую и культурную жизнь общества " (в руб.)</w:t>
            </w:r>
          </w:p>
        </w:tc>
      </w:tr>
      <w:tr w:rsidR="00FA0645" w:rsidTr="00FA0645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Всего, руб.</w:t>
            </w:r>
          </w:p>
        </w:tc>
      </w:tr>
      <w:tr w:rsidR="00FA0645" w:rsidTr="00EF055F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164A64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264484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E11DAA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7D6D69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9D6BAD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031D51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Всего, руб.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954 000,00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jc w:val="center"/>
            </w:pPr>
            <w:r>
              <w:t>1 434 000,00</w:t>
            </w:r>
          </w:p>
        </w:tc>
      </w:tr>
    </w:tbl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Подраздел 2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Подпрограмма  «Содействие в обеспечении жильем молодых семей»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1. Задачи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12. Реализация подпрограммы  "Содействие в обеспечении жильем молодых семей" связано с решением следующих задач: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задача 1 "Содействие в решении жилищных проблем молодых семей";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задача 2 "Информирование молодых граждан о предоставляемых государством мерах поддержки молодых семей в решении жилищных проблем".</w:t>
      </w:r>
    </w:p>
    <w:p w:rsidR="00300836" w:rsidRDefault="00300836" w:rsidP="00300836">
      <w:pPr>
        <w:spacing w:line="240" w:lineRule="atLeast"/>
        <w:ind w:firstLine="720"/>
        <w:jc w:val="both"/>
      </w:pPr>
      <w:r>
        <w:t>Решение задачи 1 "Содействие в решении жилищных проблем молодых семей" оценивается с помощью следующих показателей: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количество молодых семей, улучшивших свои жилищные условия в рамках реализации муниципальной 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б) количество семей, получивших субсидию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</w:t>
      </w:r>
      <w:r w:rsidR="00D966D5">
        <w:t xml:space="preserve">) </w:t>
      </w:r>
      <w:r w:rsidR="00D966D5" w:rsidRPr="00D966D5">
        <w:t>количество семей, получивших свидетельство о праве на получение социальной выплаты на приобретение (строительство) жилья</w:t>
      </w:r>
      <w:r w:rsidR="00D966D5">
        <w:t>.</w:t>
      </w:r>
    </w:p>
    <w:p w:rsidR="00300836" w:rsidRDefault="00300836" w:rsidP="00300836">
      <w:pPr>
        <w:spacing w:line="240" w:lineRule="atLeast"/>
        <w:ind w:firstLine="720"/>
        <w:jc w:val="both"/>
      </w:pPr>
      <w:r>
        <w:t>13. Решение задачи 2 "Информирование молодых граждан о предоставляемых государством мерах поддержки молодых семей в решении жилищных проблем" оценивается с помощью следующих показателей;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 - доля молодых граждан, информированных о предоставляемых государством мерах поддержки молодых семей в решении жилищных проблем.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rPr>
          <w:b/>
        </w:rPr>
        <w:tab/>
      </w:r>
      <w:r>
        <w:t>Значение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2. Мероприятия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14. Решение задач подпрограммы 2 "Содействие в обеспечении жильем молодых семей" осуществляется посредством выполнения следующих административных мероприятий и мероприятий: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" w:name="sub_10681"/>
      <w:r>
        <w:t>а) мероприятие «Реализация мероприятий по обеспечению жильём молодых семей»;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" w:name="sub_103316"/>
      <w:bookmarkEnd w:id="1"/>
      <w:r>
        <w:t>б) мероприятие «Оформление свидетельств о праве на получение социальной выплаты на приобретение (строительство) жилья»;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мероприятие «Публикация информационно-справочных материалов о предоставляемых мерах поддержки молодых семей в решении жилищных проблем».</w:t>
      </w:r>
    </w:p>
    <w:bookmarkEnd w:id="2"/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  <w:r>
        <w:rPr>
          <w:b/>
        </w:rPr>
        <w:t xml:space="preserve">Глава 3. </w:t>
      </w:r>
      <w:r>
        <w:rPr>
          <w:b/>
          <w:bCs/>
        </w:rPr>
        <w:t>Объем финансовых ресурсов, необходимый для реализации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17. Общий объем бюджетных ассигнований, выделенный на реализацию подпрограммы 2 "Содействие в обеспечении жильем </w:t>
      </w:r>
      <w:r w:rsidR="00BC6777">
        <w:t>молодых семей", составляет – 814 548</w:t>
      </w:r>
      <w:r>
        <w:t>,00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2692"/>
        <w:gridCol w:w="3685"/>
        <w:gridCol w:w="1700"/>
      </w:tblGrid>
      <w:tr w:rsidR="00300836" w:rsidTr="00300836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Годы реализации 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300836" w:rsidTr="0030083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1. "Содействие в решении жилищных проблем молодых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2. "Информирование 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Всего, руб.</w:t>
            </w:r>
          </w:p>
        </w:tc>
      </w:tr>
      <w:tr w:rsidR="00300836" w:rsidTr="00300836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144 648</w:t>
            </w:r>
            <w:r w:rsidR="00300836"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144 648</w:t>
            </w:r>
            <w:r w:rsidR="00300836">
              <w:t>,00</w:t>
            </w:r>
          </w:p>
        </w:tc>
      </w:tr>
      <w:tr w:rsidR="00300836" w:rsidTr="00300836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814 548</w:t>
            </w:r>
            <w:r w:rsidR="00300836"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814 548</w:t>
            </w:r>
            <w:r w:rsidR="00300836">
              <w:t>,00</w:t>
            </w:r>
          </w:p>
        </w:tc>
      </w:tr>
    </w:tbl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  <w:r>
        <w:tab/>
      </w:r>
    </w:p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Подраздел 3</w:t>
      </w:r>
    </w:p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426"/>
        <w:jc w:val="center"/>
        <w:rPr>
          <w:b/>
        </w:rPr>
      </w:pPr>
      <w:r>
        <w:rPr>
          <w:b/>
        </w:rPr>
        <w:t>Подпрограмма «Поддержка семьи и детей»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1. Задачи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16. Реализация подпрограммы  «Поддержка семьи и детей» связано с решением следующих задач: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задача 1 «Выявление и поощрение одаренных детей. Поддержка семей с детьми»</w:t>
      </w:r>
    </w:p>
    <w:p w:rsidR="00300836" w:rsidRDefault="00300836" w:rsidP="00300836">
      <w:pPr>
        <w:spacing w:line="240" w:lineRule="atLeast"/>
        <w:ind w:firstLine="720"/>
        <w:jc w:val="both"/>
      </w:pPr>
      <w:r>
        <w:t>Решение задачи 1 «Выявление и поощрение одаренных детей. Поддержка семей с детьми» оценивается с помощью следующих показателей: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количество мероприятий, ежегодно проводимых с целью выявления и поощрения одарённых детей;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обеспечение возможности поощрения талантливых детей;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количество выпускников школ, окончивших школу с  медалью, получивших социальную выплату;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г) количество студентов профессиональных учебных заведений, получающих муниципальную стипендию;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д) предоставление учащимся и (или) студентам, обучающимся по очной форме, льгот на проезд.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rPr>
          <w:b/>
        </w:rPr>
        <w:tab/>
      </w:r>
      <w:r>
        <w:t>Значение показателей задач подпрограммы 3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2. Мероприятия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Решение задач подпрограммы 3 «Выявление и поощрение одаренных детей. Поддержка семей с детьми» осуществляется посредством выполнения следующих мероприятий: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мероприятие «Проведение мероприятий и конкурсов для реализации творческого потенциала одаренных детей»;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мероприятие «Проведение мероприятий по работе с талантливой и способной молодежью»;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мероприятие «Проведение мероприятий среди молодежи для вовлечения в профессию»;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г) мероприятие «Создание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форме».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Выполнение каждого административного мероприятия и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  <w:r>
        <w:rPr>
          <w:b/>
        </w:rPr>
        <w:t xml:space="preserve">Глава 3. </w:t>
      </w:r>
      <w:r>
        <w:rPr>
          <w:b/>
          <w:bCs/>
        </w:rPr>
        <w:t>Объем финансовых ресурсов, необходимый для реализации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18. Общий объем бюджетных ассигнований, выделенный на реализацию подпрограммы 3 «Поддержка семьи и детей», составляет – </w:t>
      </w:r>
      <w:r w:rsidR="00156C59">
        <w:t>858</w:t>
      </w:r>
      <w:r>
        <w:t xml:space="preserve"> 000,00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4817"/>
        <w:gridCol w:w="3260"/>
      </w:tblGrid>
      <w:tr w:rsidR="00300836" w:rsidTr="00300836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Годы реализации подпрограммы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Финансовые ресурсы, необходимые для реализации подпрограммы 3 «Поддержка семьи и детей» (руб.)</w:t>
            </w:r>
          </w:p>
        </w:tc>
      </w:tr>
      <w:tr w:rsidR="00300836" w:rsidTr="0030083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подпрограммы «Выявление и поощрение одаренных детей. Поддержка семей с детьми»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Всего, руб.</w:t>
            </w:r>
          </w:p>
        </w:tc>
      </w:tr>
      <w:tr w:rsidR="00300836" w:rsidTr="00300836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 w:rsidP="002C0380">
            <w:pPr>
              <w:jc w:val="center"/>
            </w:pPr>
            <w:r>
              <w:t>1</w:t>
            </w:r>
            <w:r w:rsidR="002C0380">
              <w:t>43</w:t>
            </w:r>
            <w:r>
              <w:t xml:space="preserve">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 w:rsidP="002C0380">
            <w:pPr>
              <w:jc w:val="center"/>
            </w:pPr>
            <w:r>
              <w:t>1</w:t>
            </w:r>
            <w:r w:rsidR="002C0380">
              <w:t>43</w:t>
            </w:r>
            <w:r>
              <w:t xml:space="preserve"> 000,00</w:t>
            </w:r>
          </w:p>
        </w:tc>
      </w:tr>
      <w:tr w:rsidR="00300836" w:rsidTr="00300836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Всего,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858</w:t>
            </w:r>
            <w:r w:rsidR="00300836">
              <w:t xml:space="preserve">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 xml:space="preserve">858 </w:t>
            </w:r>
            <w:r w:rsidR="00300836">
              <w:t>000,00</w:t>
            </w:r>
          </w:p>
        </w:tc>
      </w:tr>
    </w:tbl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>Раздел 4. Сроки реализации муниципальной 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19. Срок реализации муниципальной программы 2024 – 2029 годы.</w:t>
      </w:r>
    </w:p>
    <w:p w:rsidR="00300836" w:rsidRDefault="00300836" w:rsidP="00300836">
      <w:pPr>
        <w:spacing w:line="240" w:lineRule="atLeast"/>
        <w:jc w:val="center"/>
        <w:rPr>
          <w:b/>
        </w:rPr>
      </w:pPr>
      <w:r>
        <w:rPr>
          <w:b/>
        </w:rPr>
        <w:t>Раздел 5. Мониторинг реализации муниципальной программы</w:t>
      </w:r>
    </w:p>
    <w:p w:rsidR="00300836" w:rsidRDefault="00300836" w:rsidP="00300836">
      <w:pPr>
        <w:spacing w:line="240" w:lineRule="atLeast"/>
        <w:ind w:firstLine="708"/>
        <w:jc w:val="both"/>
      </w:pPr>
      <w:r>
        <w:t xml:space="preserve">20. Мониторинг реализации муниципальной программы обеспечивает: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регулярность получения информации о реализации </w:t>
      </w:r>
      <w:r>
        <w:t>муниципальной</w:t>
      </w:r>
      <w:r>
        <w:rPr>
          <w:rFonts w:eastAsia="Times New Roman"/>
        </w:rPr>
        <w:t xml:space="preserve"> программы от ответственных исполнителей администратора </w:t>
      </w:r>
      <w:r>
        <w:t>муниципальной</w:t>
      </w:r>
      <w:r>
        <w:rPr>
          <w:rFonts w:eastAsia="Times New Roman"/>
        </w:rPr>
        <w:t xml:space="preserve"> программы;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б) согласованность действий ответственных исполнителей администратора </w:t>
      </w:r>
      <w:r>
        <w:t>муниципальной</w:t>
      </w:r>
      <w:r>
        <w:rPr>
          <w:rFonts w:eastAsia="Times New Roman"/>
        </w:rPr>
        <w:t xml:space="preserve"> программы; 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в) своевременную актуализацию </w:t>
      </w:r>
      <w:r>
        <w:t>муниципальной</w:t>
      </w:r>
      <w:r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Мониторинг реализации </w:t>
      </w:r>
      <w:r>
        <w:t>муниципальной</w:t>
      </w:r>
      <w:r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>
        <w:t>муниципальной</w:t>
      </w:r>
      <w:r>
        <w:rPr>
          <w:rFonts w:eastAsia="Times New Roman"/>
        </w:rPr>
        <w:t xml:space="preserve"> программы;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б) информации о достижении запланированных показателей </w:t>
      </w:r>
      <w:r>
        <w:t>муниципальной</w:t>
      </w:r>
      <w:r>
        <w:rPr>
          <w:rFonts w:eastAsia="Times New Roman"/>
        </w:rPr>
        <w:t xml:space="preserve"> программы.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Источниками информации для проведения мониторинга реализации </w:t>
      </w:r>
      <w:r>
        <w:t>муниципальной</w:t>
      </w:r>
      <w:r>
        <w:rPr>
          <w:rFonts w:eastAsia="Times New Roman"/>
        </w:rPr>
        <w:t xml:space="preserve"> программы являются: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>
        <w:t>муниципальной</w:t>
      </w:r>
      <w:r>
        <w:rPr>
          <w:rFonts w:eastAsia="Times New Roman"/>
        </w:rPr>
        <w:t xml:space="preserve"> программы;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</w:pPr>
      <w:r>
        <w:rPr>
          <w:rFonts w:eastAsia="Times New Roman"/>
        </w:rPr>
        <w:t xml:space="preserve">б) </w:t>
      </w:r>
      <w:r>
        <w:t>отчеты ответственных исполнителей главного администратора муниципальной программы;</w:t>
      </w:r>
    </w:p>
    <w:p w:rsidR="00300836" w:rsidRDefault="00300836" w:rsidP="00300836">
      <w:pPr>
        <w:spacing w:line="240" w:lineRule="atLeast"/>
        <w:ind w:firstLine="709"/>
        <w:jc w:val="both"/>
      </w:pPr>
      <w:r>
        <w:t>в) другие источники.</w:t>
      </w:r>
    </w:p>
    <w:p w:rsidR="00300836" w:rsidRDefault="00300836" w:rsidP="00300836">
      <w:pPr>
        <w:spacing w:line="240" w:lineRule="atLeast"/>
        <w:ind w:firstLine="708"/>
        <w:jc w:val="both"/>
      </w:pPr>
      <w: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00836" w:rsidRDefault="00300836" w:rsidP="00300836">
      <w:pPr>
        <w:spacing w:line="240" w:lineRule="atLeast"/>
        <w:ind w:firstLine="709"/>
        <w:jc w:val="both"/>
      </w:pPr>
      <w: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300836" w:rsidRDefault="00300836" w:rsidP="00300836">
      <w:pPr>
        <w:spacing w:line="240" w:lineRule="atLeast"/>
        <w:ind w:firstLine="709"/>
        <w:jc w:val="both"/>
      </w:pPr>
      <w:r>
        <w:t>б) корректировку (при необходимости) ежегодного плана мероприятий по реализации муниципальной программы;</w:t>
      </w:r>
    </w:p>
    <w:p w:rsidR="00300836" w:rsidRDefault="00300836" w:rsidP="00300836">
      <w:pPr>
        <w:spacing w:line="240" w:lineRule="atLeast"/>
        <w:ind w:firstLine="709"/>
        <w:jc w:val="both"/>
      </w:pPr>
      <w:r>
        <w:t>в) формирование отчета о реализации муниципальной программы за отчетный финансовый год.</w:t>
      </w:r>
    </w:p>
    <w:p w:rsidR="00300836" w:rsidRDefault="00300836" w:rsidP="00300836">
      <w:pPr>
        <w:pStyle w:val="ConsPlusNormal0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300836" w:rsidRDefault="00300836" w:rsidP="00300836">
      <w:pPr>
        <w:spacing w:line="240" w:lineRule="atLeast"/>
        <w:ind w:firstLine="567"/>
        <w:jc w:val="both"/>
      </w:pPr>
      <w:proofErr w:type="gramStart"/>
      <w:r>
        <w:t xml:space="preserve">В срок до 15 марта года, следующего за отчетным годом, </w:t>
      </w:r>
      <w:r>
        <w:rPr>
          <w:bCs/>
        </w:rPr>
        <w:t>Администрация Весьегонского муниципального округа</w:t>
      </w:r>
      <w:r>
        <w:t xml:space="preserve"> 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№2 к настоящему постановлению на экспертизу в Финансовый отдел Администрации Весьегонского муниципального округа, отдел по экономике и защите прав потребителей Администрации Весьегонского муниципального округа.</w:t>
      </w:r>
      <w:proofErr w:type="gramEnd"/>
    </w:p>
    <w:p w:rsidR="00300836" w:rsidRDefault="00300836" w:rsidP="00300836">
      <w:pPr>
        <w:spacing w:line="240" w:lineRule="atLeast"/>
        <w:ind w:firstLine="567"/>
        <w:jc w:val="both"/>
      </w:pPr>
      <w:r>
        <w:t>Финансовый отдел Администрации Весьегонского муниципального округа, проводит экспертизу отчета о реализации муниципальной программы за отчетный финансовый год на предмет:</w:t>
      </w:r>
    </w:p>
    <w:p w:rsidR="00300836" w:rsidRDefault="00300836" w:rsidP="00300836">
      <w:pPr>
        <w:spacing w:line="240" w:lineRule="atLeast"/>
        <w:ind w:firstLine="567"/>
        <w:jc w:val="both"/>
      </w:pPr>
      <w: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б) обоснованности </w:t>
      </w:r>
      <w:proofErr w:type="gramStart"/>
      <w:r>
        <w:t>оценки возможности использования запланированных финансовых ресурсов муниципальной программы</w:t>
      </w:r>
      <w:proofErr w:type="gramEnd"/>
      <w:r>
        <w:t xml:space="preserve"> до окончания срока ее реализации.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Отдел по экономике и защите прав потребителей Администрации Весьегонского округа проводит экспертизу отчета о реализации муниципальной программы за отчетный финансовый год на предмет </w:t>
      </w:r>
      <w:proofErr w:type="gramStart"/>
      <w:r>
        <w:t>обоснованности оценки эффективности реализации муниципальной программы</w:t>
      </w:r>
      <w:proofErr w:type="gramEnd"/>
      <w:r>
        <w:t xml:space="preserve"> за отчетный финансовый год.</w:t>
      </w:r>
    </w:p>
    <w:p w:rsidR="00300836" w:rsidRDefault="00300836" w:rsidP="00300836">
      <w:pPr>
        <w:spacing w:line="240" w:lineRule="atLeast"/>
        <w:ind w:firstLine="567"/>
        <w:jc w:val="both"/>
      </w:pPr>
      <w:r>
        <w:rPr>
          <w:bCs/>
        </w:rPr>
        <w:t>Администрация Весьегонского муниципального округа</w:t>
      </w:r>
      <w: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300836" w:rsidRDefault="00300836" w:rsidP="0030083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300836" w:rsidRDefault="00300836" w:rsidP="00300836">
      <w:pPr>
        <w:spacing w:line="240" w:lineRule="atLeast"/>
        <w:ind w:firstLine="567"/>
        <w:jc w:val="both"/>
      </w:pPr>
      <w:r>
        <w:rPr>
          <w:bCs/>
        </w:rPr>
        <w:t xml:space="preserve">21. </w:t>
      </w:r>
      <w:proofErr w:type="gramStart"/>
      <w:r>
        <w:rPr>
          <w:bCs/>
        </w:rPr>
        <w:t xml:space="preserve">В срок до 15 апреля года, следующего за отчетным годом, Администрация Весьегонского муниципального округа 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</w:t>
      </w:r>
      <w:r>
        <w:t>отдел экономики и защите прав потребителей Администрации Весьегонского муниципального округа</w:t>
      </w:r>
      <w:r>
        <w:rPr>
          <w:bCs/>
        </w:rPr>
        <w:t xml:space="preserve"> для формирования сводного годового доклада о ходе реализации и об</w:t>
      </w:r>
      <w:proofErr w:type="gramEnd"/>
      <w:r>
        <w:rPr>
          <w:bCs/>
        </w:rPr>
        <w:t xml:space="preserve"> оценке эффективности муниципальных программ в год.</w:t>
      </w:r>
    </w:p>
    <w:p w:rsidR="00300836" w:rsidRDefault="00300836" w:rsidP="00300836">
      <w:pPr>
        <w:spacing w:line="240" w:lineRule="atLeast"/>
        <w:jc w:val="both"/>
      </w:pPr>
      <w:r>
        <w:rPr>
          <w:bCs/>
        </w:rPr>
        <w:t>Администрация Весьегонского муниципального округа</w:t>
      </w:r>
      <w:r>
        <w:t xml:space="preserve">в случае досрочного ее завершения разрабатывает проект постановления Администрации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 Администрацией Весьегонского муниципального округа проекта сводного </w:t>
      </w:r>
      <w:r>
        <w:rPr>
          <w:bCs/>
        </w:rPr>
        <w:t>годового доклада о ходе реализации и об оценке эффективности муниципальных программ</w:t>
      </w:r>
      <w:r>
        <w:t>.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Сводный </w:t>
      </w:r>
      <w:r>
        <w:rPr>
          <w:bCs/>
        </w:rPr>
        <w:t>годовой доклад о ходе реализации и об оценке эффективности муниципальных программ</w:t>
      </w:r>
      <w:r>
        <w:t xml:space="preserve"> размещается на сайте Администрации в информационно-телекоммуникационной сети Интернет.</w:t>
      </w:r>
    </w:p>
    <w:p w:rsidR="00300836" w:rsidRDefault="00300836" w:rsidP="00300836">
      <w:pPr>
        <w:spacing w:line="240" w:lineRule="atLeast"/>
        <w:jc w:val="center"/>
        <w:rPr>
          <w:b/>
        </w:rPr>
      </w:pPr>
      <w:r>
        <w:rPr>
          <w:b/>
        </w:rPr>
        <w:t>Раздел 6. Внесение изменений в муниципальную программу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22. 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300836" w:rsidRDefault="00300836" w:rsidP="00300836">
      <w:pPr>
        <w:spacing w:line="240" w:lineRule="atLeast"/>
        <w:jc w:val="both"/>
      </w:pPr>
      <w:r>
        <w:t>Внесение изменений в муниципальную программу в процессе ее реализации осуществляется в случаях: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а) снижения или увеличения ожидаемых поступлений доходов в местный бюджет муниципального округа Тверской области; </w:t>
      </w:r>
    </w:p>
    <w:p w:rsidR="00300836" w:rsidRDefault="00300836" w:rsidP="00300836">
      <w:pPr>
        <w:spacing w:line="240" w:lineRule="atLeast"/>
        <w:ind w:firstLine="567"/>
        <w:jc w:val="both"/>
      </w:pPr>
      <w: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300836" w:rsidRDefault="00300836" w:rsidP="00300836">
      <w:pPr>
        <w:spacing w:line="240" w:lineRule="atLeast"/>
        <w:ind w:firstLine="567"/>
        <w:jc w:val="both"/>
      </w:pPr>
      <w: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300836" w:rsidRDefault="00300836" w:rsidP="00300836">
      <w:pPr>
        <w:spacing w:line="240" w:lineRule="atLeast"/>
        <w:ind w:firstLine="567"/>
        <w:jc w:val="both"/>
      </w:pPr>
      <w:r>
        <w:t>д) перераспределения бюджетных средств, сэкономленных в результате размещения заказов;</w:t>
      </w:r>
    </w:p>
    <w:p w:rsidR="00300836" w:rsidRDefault="00300836" w:rsidP="00300836">
      <w:pPr>
        <w:spacing w:line="240" w:lineRule="atLeast"/>
        <w:ind w:firstLine="567"/>
        <w:jc w:val="both"/>
      </w:pPr>
      <w:r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округа Тверской области на очередной финансовый год и плановый период.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0836" w:rsidRDefault="00300836" w:rsidP="00300836">
      <w:pPr>
        <w:pStyle w:val="ConsPlusTitle"/>
        <w:spacing w:line="240" w:lineRule="atLeast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7. Оценка эффективности реализации муниципальной программы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 Оценка эффективности реализации муниципальной программы осуществляется Администрацией Весьегонского муниципального округа с помощью следующих критериев: 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300836" w:rsidRDefault="00300836" w:rsidP="00300836">
      <w:pPr>
        <w:spacing w:line="240" w:lineRule="atLeast"/>
        <w:jc w:val="center"/>
        <w:rPr>
          <w:b/>
        </w:rPr>
      </w:pPr>
    </w:p>
    <w:p w:rsidR="00300836" w:rsidRDefault="00300836" w:rsidP="00300836">
      <w:pPr>
        <w:spacing w:line="240" w:lineRule="atLeast"/>
        <w:jc w:val="center"/>
        <w:rPr>
          <w:b/>
        </w:rPr>
      </w:pPr>
      <w:r>
        <w:rPr>
          <w:b/>
        </w:rPr>
        <w:t xml:space="preserve">Раздел 8. Анализ рисков реализации </w:t>
      </w:r>
      <w:r>
        <w:rPr>
          <w:b/>
          <w:bCs/>
        </w:rPr>
        <w:t>муниципальной</w:t>
      </w:r>
      <w:r>
        <w:rPr>
          <w:b/>
        </w:rPr>
        <w:t xml:space="preserve"> программы и меры по управлению рисками</w:t>
      </w:r>
    </w:p>
    <w:p w:rsidR="00300836" w:rsidRDefault="00300836" w:rsidP="00300836">
      <w:pPr>
        <w:spacing w:line="240" w:lineRule="atLeast"/>
        <w:jc w:val="both"/>
      </w:pPr>
      <w:r>
        <w:t xml:space="preserve">24. В процессе реализации </w:t>
      </w:r>
      <w:r>
        <w:rPr>
          <w:bCs/>
        </w:rPr>
        <w:t>муниципальной</w:t>
      </w:r>
      <w:r>
        <w:t xml:space="preserve"> программы могут проявиться внешние и внутренние риски. 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 Внутренними рисками реализации </w:t>
      </w:r>
      <w:r>
        <w:rPr>
          <w:bCs/>
        </w:rPr>
        <w:t>муниципальной</w:t>
      </w:r>
      <w:r>
        <w:t xml:space="preserve"> программы являются: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а) недостаточная организация межведомственных связей;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б) недостаточная квалификация отдельных работников учреждений – исполнителей программы.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а) повышение квалификации работников </w:t>
      </w:r>
      <w:r>
        <w:rPr>
          <w:bCs/>
        </w:rPr>
        <w:t xml:space="preserve">муниципальных </w:t>
      </w:r>
      <w:r>
        <w:t xml:space="preserve">учреждений 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б) обеспечение межведомственного взаимодействия.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Внешними рисками реализации муниципальной программы являются: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б) изменение финансирования;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в) ухудшение экономической ситуации и, как следствие, низкая активность населения.</w:t>
      </w:r>
    </w:p>
    <w:p w:rsidR="00300836" w:rsidRDefault="00300836" w:rsidP="00300836">
      <w:pPr>
        <w:spacing w:line="240" w:lineRule="atLeast"/>
        <w:ind w:firstLine="709"/>
        <w:jc w:val="both"/>
      </w:pPr>
      <w:r>
        <w:t>Способом ограничения внешних рисков является:</w:t>
      </w:r>
    </w:p>
    <w:p w:rsidR="00300836" w:rsidRDefault="00300836" w:rsidP="00300836">
      <w:pPr>
        <w:spacing w:line="240" w:lineRule="atLeast"/>
        <w:ind w:firstLine="709"/>
        <w:jc w:val="both"/>
      </w:pPr>
      <w:r>
        <w:t xml:space="preserve">а) своевременное внесение изменений в </w:t>
      </w:r>
      <w:r>
        <w:rPr>
          <w:bCs/>
        </w:rPr>
        <w:t>муниципальную</w:t>
      </w:r>
      <w:r>
        <w:t xml:space="preserve"> программу; 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б) </w:t>
      </w:r>
      <w:proofErr w:type="gramStart"/>
      <w:r>
        <w:t>контроль за</w:t>
      </w:r>
      <w:proofErr w:type="gramEnd"/>
      <w:r>
        <w:t xml:space="preserve"> ходом выполнения мероприятий </w:t>
      </w:r>
      <w:r>
        <w:rPr>
          <w:bCs/>
        </w:rPr>
        <w:t>муниципальной</w:t>
      </w:r>
      <w:r>
        <w:t xml:space="preserve"> программы и совершенствование механизма текущего управления реализацией </w:t>
      </w:r>
      <w:r>
        <w:rPr>
          <w:bCs/>
        </w:rPr>
        <w:t>муниципальной</w:t>
      </w:r>
      <w:r>
        <w:t xml:space="preserve"> программы;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в) непрерывный мониторинг выполнения показателей </w:t>
      </w:r>
      <w:r>
        <w:rPr>
          <w:bCs/>
        </w:rPr>
        <w:t>муниципальной</w:t>
      </w:r>
      <w:r>
        <w:t xml:space="preserve"> программы;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г) информирование населения Весьегонского муниципального округа о ходе реализации </w:t>
      </w:r>
      <w:r>
        <w:rPr>
          <w:bCs/>
        </w:rPr>
        <w:t>муниципальной</w:t>
      </w:r>
      <w:r>
        <w:t xml:space="preserve"> программы.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Принятие мер по управлению рисками осуществляется </w:t>
      </w:r>
      <w:r>
        <w:rPr>
          <w:bCs/>
        </w:rPr>
        <w:t xml:space="preserve">Администрацией Весьегонского муниципального округа </w:t>
      </w:r>
      <w:r>
        <w:t xml:space="preserve">на основе мониторинга реализации </w:t>
      </w:r>
      <w:r>
        <w:rPr>
          <w:bCs/>
        </w:rPr>
        <w:t>муниципальной</w:t>
      </w:r>
      <w:r>
        <w:t xml:space="preserve"> программы и оценки ее эффективности и результативности.</w:t>
      </w:r>
    </w:p>
    <w:p w:rsidR="00EA5CBC" w:rsidRDefault="00EA5CBC"/>
    <w:sectPr w:rsidR="00EA5CBC" w:rsidSect="00EA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CE72A1DA"/>
    <w:lvl w:ilvl="0" w:tplc="694C19D8">
      <w:start w:val="1"/>
      <w:numFmt w:val="decimal"/>
      <w:suff w:val="space"/>
      <w:lvlText w:val="%1."/>
      <w:lvlJc w:val="left"/>
      <w:pPr>
        <w:ind w:left="682" w:hanging="11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836"/>
    <w:rsid w:val="000C6AD2"/>
    <w:rsid w:val="0011786A"/>
    <w:rsid w:val="00156C59"/>
    <w:rsid w:val="002C0380"/>
    <w:rsid w:val="00300836"/>
    <w:rsid w:val="004879CD"/>
    <w:rsid w:val="004F4FF1"/>
    <w:rsid w:val="0077430B"/>
    <w:rsid w:val="00986DBA"/>
    <w:rsid w:val="00B87B79"/>
    <w:rsid w:val="00BC6777"/>
    <w:rsid w:val="00C04DA5"/>
    <w:rsid w:val="00CC5C93"/>
    <w:rsid w:val="00D26474"/>
    <w:rsid w:val="00D966D5"/>
    <w:rsid w:val="00EA5CBC"/>
    <w:rsid w:val="00FA0645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8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0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8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0083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0083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300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0083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0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0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300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82235.1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356.0/" TargetMode="External"/><Relationship Id="rId5" Type="http://schemas.openxmlformats.org/officeDocument/2006/relationships/hyperlink" Target="garantf1://90356.1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9</cp:revision>
  <cp:lastPrinted>2024-01-24T11:57:00Z</cp:lastPrinted>
  <dcterms:created xsi:type="dcterms:W3CDTF">2024-01-17T07:10:00Z</dcterms:created>
  <dcterms:modified xsi:type="dcterms:W3CDTF">2024-01-28T08:04:00Z</dcterms:modified>
</cp:coreProperties>
</file>